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8A" w:rsidRPr="000203D0" w:rsidRDefault="009F4CC4" w:rsidP="00580BAA">
      <w:pPr>
        <w:rPr>
          <w:vanish/>
          <w:specVanish/>
        </w:rPr>
      </w:pPr>
      <w:r>
        <w:rPr>
          <w:noProof/>
          <w:lang w:val="en-US" w:eastAsia="en-US"/>
        </w:rPr>
        <w:drawing>
          <wp:anchor distT="0" distB="0" distL="114300" distR="114300" simplePos="0" relativeHeight="251658240" behindDoc="1" locked="0" layoutInCell="1" allowOverlap="1" wp14:anchorId="4BE99986" wp14:editId="5BB39859">
            <wp:simplePos x="0" y="0"/>
            <wp:positionH relativeFrom="page">
              <wp:align>right</wp:align>
            </wp:positionH>
            <wp:positionV relativeFrom="paragraph">
              <wp:posOffset>-438150</wp:posOffset>
            </wp:positionV>
            <wp:extent cx="7531100" cy="2120265"/>
            <wp:effectExtent l="0" t="0" r="0" b="0"/>
            <wp:wrapNone/>
            <wp:docPr id="9" name="Picture 9" descr="letterhead-header B&amp;W-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header B&amp;W-for-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0" cy="212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410" w:rsidRPr="000356AA" w:rsidRDefault="000203D0" w:rsidP="00E86410">
      <w:r>
        <w:t xml:space="preserve"> </w:t>
      </w:r>
      <w:r w:rsidR="00E86410" w:rsidRPr="009B357A">
        <w:rPr>
          <w:rFonts w:ascii="Arial" w:hAnsi="Arial" w:cs="Arial"/>
          <w:b/>
          <w:i/>
          <w:sz w:val="20"/>
          <w:szCs w:val="20"/>
        </w:rPr>
        <w:t xml:space="preserve"> </w:t>
      </w:r>
    </w:p>
    <w:p w:rsidR="006755BC" w:rsidRDefault="006755BC" w:rsidP="003D32C5">
      <w:pPr>
        <w:rPr>
          <w:rFonts w:ascii="Arial" w:hAnsi="Arial" w:cs="Arial"/>
          <w:b/>
          <w:sz w:val="22"/>
          <w:szCs w:val="22"/>
        </w:rPr>
      </w:pPr>
    </w:p>
    <w:p w:rsidR="006755BC" w:rsidRDefault="006755BC" w:rsidP="003D32C5">
      <w:pPr>
        <w:rPr>
          <w:rFonts w:ascii="Arial" w:hAnsi="Arial" w:cs="Arial"/>
          <w:b/>
          <w:sz w:val="22"/>
          <w:szCs w:val="22"/>
        </w:rPr>
      </w:pPr>
    </w:p>
    <w:p w:rsidR="006755BC" w:rsidRDefault="006755BC" w:rsidP="003D32C5">
      <w:pPr>
        <w:rPr>
          <w:rFonts w:ascii="Arial" w:hAnsi="Arial" w:cs="Arial"/>
          <w:b/>
          <w:sz w:val="22"/>
          <w:szCs w:val="22"/>
        </w:rPr>
      </w:pPr>
    </w:p>
    <w:p w:rsidR="006755BC" w:rsidRDefault="006755BC" w:rsidP="003D32C5">
      <w:pPr>
        <w:rPr>
          <w:rFonts w:ascii="Arial" w:hAnsi="Arial" w:cs="Arial"/>
          <w:b/>
          <w:sz w:val="22"/>
          <w:szCs w:val="22"/>
        </w:rPr>
      </w:pPr>
    </w:p>
    <w:p w:rsidR="006755BC" w:rsidRDefault="006755BC" w:rsidP="006755BC">
      <w:pPr>
        <w:ind w:firstLine="720"/>
        <w:rPr>
          <w:rFonts w:ascii="Arial" w:hAnsi="Arial" w:cs="Arial"/>
          <w:b/>
          <w:sz w:val="22"/>
          <w:szCs w:val="22"/>
        </w:rPr>
      </w:pPr>
    </w:p>
    <w:p w:rsidR="006755BC" w:rsidRDefault="006755BC" w:rsidP="006755BC">
      <w:pPr>
        <w:ind w:firstLine="720"/>
        <w:rPr>
          <w:rFonts w:ascii="Arial" w:hAnsi="Arial" w:cs="Arial"/>
          <w:b/>
          <w:sz w:val="22"/>
          <w:szCs w:val="22"/>
        </w:rPr>
      </w:pPr>
    </w:p>
    <w:p w:rsidR="006755BC" w:rsidRDefault="009F4CC4" w:rsidP="006755BC">
      <w:pPr>
        <w:ind w:firstLine="720"/>
        <w:rPr>
          <w:rFonts w:ascii="Arial" w:hAnsi="Arial" w:cs="Arial"/>
          <w:b/>
          <w:sz w:val="22"/>
          <w:szCs w:val="22"/>
        </w:rPr>
      </w:pPr>
      <w:r>
        <w:rPr>
          <w:noProof/>
          <w:lang w:val="en-US" w:eastAsia="en-US"/>
        </w:rPr>
        <mc:AlternateContent>
          <mc:Choice Requires="wps">
            <w:drawing>
              <wp:anchor distT="0" distB="0" distL="114300" distR="114300" simplePos="0" relativeHeight="251657216" behindDoc="0" locked="0" layoutInCell="1" allowOverlap="1" wp14:anchorId="13E8730A" wp14:editId="5791FEE7">
                <wp:simplePos x="0" y="0"/>
                <wp:positionH relativeFrom="column">
                  <wp:posOffset>-209550</wp:posOffset>
                </wp:positionH>
                <wp:positionV relativeFrom="paragraph">
                  <wp:posOffset>103505</wp:posOffset>
                </wp:positionV>
                <wp:extent cx="4667250" cy="364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673" w:rsidRPr="006755BC" w:rsidRDefault="000356AA" w:rsidP="00377AFB">
                            <w:pPr>
                              <w:rPr>
                                <w:rFonts w:ascii="Arial" w:hAnsi="Arial"/>
                                <w:sz w:val="28"/>
                                <w:szCs w:val="28"/>
                              </w:rPr>
                            </w:pPr>
                            <w:r>
                              <w:rPr>
                                <w:rFonts w:ascii="Arial" w:hAnsi="Arial"/>
                                <w:b/>
                                <w:sz w:val="28"/>
                                <w:szCs w:val="28"/>
                              </w:rPr>
                              <w:t xml:space="preserve">Fees Policy </w:t>
                            </w:r>
                            <w:r w:rsidR="00DA7A0B">
                              <w:rPr>
                                <w:rFonts w:ascii="Arial" w:hAnsi="Arial"/>
                                <w:b/>
                                <w:sz w:val="28"/>
                                <w:szCs w:val="28"/>
                              </w:rPr>
                              <w:t>20</w:t>
                            </w:r>
                            <w:r w:rsidR="00DD70EE">
                              <w:rPr>
                                <w:rFonts w:ascii="Arial" w:hAnsi="Arial"/>
                                <w:b/>
                                <w:sz w:val="28"/>
                                <w:szCs w:val="28"/>
                              </w:rPr>
                              <w:t>21</w:t>
                            </w:r>
                            <w:r w:rsidR="00DA7A0B">
                              <w:rPr>
                                <w:rFonts w:ascii="Arial" w:hAnsi="Arial"/>
                                <w:b/>
                                <w:sz w:val="28"/>
                                <w:szCs w:val="28"/>
                              </w:rPr>
                              <w:t>/</w:t>
                            </w:r>
                            <w:r w:rsidR="00DD70EE">
                              <w:rPr>
                                <w:rFonts w:ascii="Arial" w:hAnsi="Arial"/>
                                <w:b/>
                                <w:sz w:val="28"/>
                                <w:szCs w:val="28"/>
                              </w:rPr>
                              <w:t>22</w:t>
                            </w:r>
                            <w:r w:rsidR="00DA7A0B">
                              <w:rPr>
                                <w:rFonts w:ascii="Arial" w:hAnsi="Arial"/>
                                <w:b/>
                                <w:sz w:val="28"/>
                                <w:szCs w:val="28"/>
                              </w:rPr>
                              <w:t xml:space="preserve"> to </w:t>
                            </w:r>
                            <w:r>
                              <w:rPr>
                                <w:rFonts w:ascii="Arial" w:hAnsi="Arial"/>
                                <w:b/>
                                <w:sz w:val="28"/>
                                <w:szCs w:val="28"/>
                              </w:rPr>
                              <w:t>202</w:t>
                            </w:r>
                            <w:r w:rsidR="00DD70EE">
                              <w:rPr>
                                <w:rFonts w:ascii="Arial" w:hAnsi="Arial"/>
                                <w:b/>
                                <w:sz w:val="28"/>
                                <w:szCs w:val="28"/>
                              </w:rPr>
                              <w:t>2</w:t>
                            </w:r>
                            <w:r>
                              <w:rPr>
                                <w:rFonts w:ascii="Arial" w:hAnsi="Arial"/>
                                <w:b/>
                                <w:sz w:val="28"/>
                                <w:szCs w:val="28"/>
                              </w:rPr>
                              <w:t>/2</w:t>
                            </w:r>
                            <w:r w:rsidR="00DD70EE">
                              <w:rPr>
                                <w:rFonts w:ascii="Arial" w:hAnsi="Arial"/>
                                <w:b/>
                                <w:sz w:val="28"/>
                                <w:szCs w:val="28"/>
                              </w:rPr>
                              <w:t>3 academic years</w:t>
                            </w:r>
                            <w:r w:rsidR="00E40673">
                              <w:rPr>
                                <w:rFonts w:ascii="Arial" w:hAnsi="Arial"/>
                                <w:b/>
                                <w:sz w:val="28"/>
                                <w:szCs w:val="28"/>
                              </w:rPr>
                              <w:t xml:space="preserve"> </w:t>
                            </w:r>
                            <w:r w:rsidR="00E40673" w:rsidRPr="006755BC">
                              <w:rPr>
                                <w:rFonts w:ascii="Arial" w:hAnsi="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8730A" id="_x0000_t202" coordsize="21600,21600" o:spt="202" path="m,l,21600r21600,l21600,xe">
                <v:stroke joinstyle="miter"/>
                <v:path gradientshapeok="t" o:connecttype="rect"/>
              </v:shapetype>
              <v:shape id="Text Box 5" o:spid="_x0000_s1026" type="#_x0000_t202" style="position:absolute;left:0;text-align:left;margin-left:-16.5pt;margin-top:8.15pt;width:367.5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2ggIAAA8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" stroked="f">
                <v:textbox>
                  <w:txbxContent>
                    <w:p w:rsidR="00E40673" w:rsidRPr="006755BC" w:rsidRDefault="000356AA" w:rsidP="00377AFB">
                      <w:pPr>
                        <w:rPr>
                          <w:rFonts w:ascii="Arial" w:hAnsi="Arial"/>
                          <w:sz w:val="28"/>
                          <w:szCs w:val="28"/>
                        </w:rPr>
                      </w:pPr>
                      <w:r>
                        <w:rPr>
                          <w:rFonts w:ascii="Arial" w:hAnsi="Arial"/>
                          <w:b/>
                          <w:sz w:val="28"/>
                          <w:szCs w:val="28"/>
                        </w:rPr>
                        <w:t xml:space="preserve">Fees Policy </w:t>
                      </w:r>
                      <w:r w:rsidR="00DA7A0B">
                        <w:rPr>
                          <w:rFonts w:ascii="Arial" w:hAnsi="Arial"/>
                          <w:b/>
                          <w:sz w:val="28"/>
                          <w:szCs w:val="28"/>
                        </w:rPr>
                        <w:t>20</w:t>
                      </w:r>
                      <w:r w:rsidR="00DD70EE">
                        <w:rPr>
                          <w:rFonts w:ascii="Arial" w:hAnsi="Arial"/>
                          <w:b/>
                          <w:sz w:val="28"/>
                          <w:szCs w:val="28"/>
                        </w:rPr>
                        <w:t>21</w:t>
                      </w:r>
                      <w:r w:rsidR="00DA7A0B">
                        <w:rPr>
                          <w:rFonts w:ascii="Arial" w:hAnsi="Arial"/>
                          <w:b/>
                          <w:sz w:val="28"/>
                          <w:szCs w:val="28"/>
                        </w:rPr>
                        <w:t>/</w:t>
                      </w:r>
                      <w:r w:rsidR="00DD70EE">
                        <w:rPr>
                          <w:rFonts w:ascii="Arial" w:hAnsi="Arial"/>
                          <w:b/>
                          <w:sz w:val="28"/>
                          <w:szCs w:val="28"/>
                        </w:rPr>
                        <w:t>22</w:t>
                      </w:r>
                      <w:r w:rsidR="00DA7A0B">
                        <w:rPr>
                          <w:rFonts w:ascii="Arial" w:hAnsi="Arial"/>
                          <w:b/>
                          <w:sz w:val="28"/>
                          <w:szCs w:val="28"/>
                        </w:rPr>
                        <w:t xml:space="preserve"> to </w:t>
                      </w:r>
                      <w:r>
                        <w:rPr>
                          <w:rFonts w:ascii="Arial" w:hAnsi="Arial"/>
                          <w:b/>
                          <w:sz w:val="28"/>
                          <w:szCs w:val="28"/>
                        </w:rPr>
                        <w:t>202</w:t>
                      </w:r>
                      <w:r w:rsidR="00DD70EE">
                        <w:rPr>
                          <w:rFonts w:ascii="Arial" w:hAnsi="Arial"/>
                          <w:b/>
                          <w:sz w:val="28"/>
                          <w:szCs w:val="28"/>
                        </w:rPr>
                        <w:t>2</w:t>
                      </w:r>
                      <w:r>
                        <w:rPr>
                          <w:rFonts w:ascii="Arial" w:hAnsi="Arial"/>
                          <w:b/>
                          <w:sz w:val="28"/>
                          <w:szCs w:val="28"/>
                        </w:rPr>
                        <w:t>/2</w:t>
                      </w:r>
                      <w:r w:rsidR="00DD70EE">
                        <w:rPr>
                          <w:rFonts w:ascii="Arial" w:hAnsi="Arial"/>
                          <w:b/>
                          <w:sz w:val="28"/>
                          <w:szCs w:val="28"/>
                        </w:rPr>
                        <w:t>3 academic years</w:t>
                      </w:r>
                      <w:r w:rsidR="00E40673">
                        <w:rPr>
                          <w:rFonts w:ascii="Arial" w:hAnsi="Arial"/>
                          <w:b/>
                          <w:sz w:val="28"/>
                          <w:szCs w:val="28"/>
                        </w:rPr>
                        <w:t xml:space="preserve"> </w:t>
                      </w:r>
                      <w:r w:rsidR="00E40673" w:rsidRPr="006755BC">
                        <w:rPr>
                          <w:rFonts w:ascii="Arial" w:hAnsi="Arial"/>
                          <w:b/>
                          <w:sz w:val="28"/>
                          <w:szCs w:val="28"/>
                        </w:rPr>
                        <w:t xml:space="preserve">             </w:t>
                      </w:r>
                    </w:p>
                  </w:txbxContent>
                </v:textbox>
              </v:shape>
            </w:pict>
          </mc:Fallback>
        </mc:AlternateContent>
      </w:r>
    </w:p>
    <w:p w:rsidR="006755BC" w:rsidRDefault="006755BC" w:rsidP="003D32C5">
      <w:pPr>
        <w:rPr>
          <w:rFonts w:ascii="Arial" w:hAnsi="Arial" w:cs="Arial"/>
          <w:b/>
          <w:sz w:val="22"/>
          <w:szCs w:val="22"/>
        </w:rPr>
      </w:pPr>
    </w:p>
    <w:p w:rsidR="006755BC" w:rsidRDefault="006755BC" w:rsidP="006755BC">
      <w:pPr>
        <w:ind w:hanging="142"/>
        <w:rPr>
          <w:rFonts w:ascii="Arial" w:hAnsi="Arial" w:cs="Arial"/>
          <w:b/>
          <w:sz w:val="22"/>
          <w:szCs w:val="22"/>
        </w:rPr>
      </w:pPr>
    </w:p>
    <w:p w:rsidR="00776485" w:rsidRDefault="00776485" w:rsidP="000356AA">
      <w:pPr>
        <w:rPr>
          <w:rFonts w:ascii="Arial" w:hAnsi="Arial" w:cs="Arial"/>
          <w:b/>
          <w:sz w:val="22"/>
        </w:rPr>
      </w:pPr>
    </w:p>
    <w:p w:rsidR="00776485" w:rsidRPr="00316BC1" w:rsidRDefault="00776485" w:rsidP="00776485">
      <w:pPr>
        <w:pStyle w:val="ListParagraph"/>
        <w:numPr>
          <w:ilvl w:val="0"/>
          <w:numId w:val="11"/>
        </w:numPr>
        <w:rPr>
          <w:rFonts w:ascii="Arial" w:hAnsi="Arial" w:cs="Arial"/>
          <w:b/>
        </w:rPr>
      </w:pPr>
      <w:r w:rsidRPr="00316BC1">
        <w:rPr>
          <w:rFonts w:ascii="Arial" w:hAnsi="Arial" w:cs="Arial"/>
          <w:b/>
        </w:rPr>
        <w:t>Introduction</w:t>
      </w:r>
    </w:p>
    <w:p w:rsidR="00776485" w:rsidRPr="00AB555D" w:rsidRDefault="00776485" w:rsidP="00776485">
      <w:pPr>
        <w:pStyle w:val="ListParagraph"/>
        <w:ind w:left="218"/>
        <w:rPr>
          <w:rFonts w:ascii="Arial" w:hAnsi="Arial" w:cs="Arial"/>
        </w:rPr>
      </w:pPr>
    </w:p>
    <w:p w:rsidR="000356AA" w:rsidRDefault="00DA7A0B" w:rsidP="000356AA">
      <w:pPr>
        <w:pStyle w:val="ListParagraph"/>
        <w:numPr>
          <w:ilvl w:val="1"/>
          <w:numId w:val="11"/>
        </w:numPr>
        <w:rPr>
          <w:rFonts w:ascii="Arial" w:hAnsi="Arial" w:cs="Arial"/>
        </w:rPr>
      </w:pPr>
      <w:r>
        <w:rPr>
          <w:rFonts w:ascii="Arial" w:hAnsi="Arial" w:cs="Arial"/>
        </w:rPr>
        <w:t xml:space="preserve">This document </w:t>
      </w:r>
      <w:r w:rsidR="000356AA">
        <w:rPr>
          <w:rFonts w:ascii="Arial" w:hAnsi="Arial" w:cs="Arial"/>
        </w:rPr>
        <w:t xml:space="preserve">sets </w:t>
      </w:r>
      <w:r w:rsidR="00776485" w:rsidRPr="00AB555D">
        <w:rPr>
          <w:rFonts w:ascii="Arial" w:hAnsi="Arial" w:cs="Arial"/>
        </w:rPr>
        <w:t>out the Fees Strategy a</w:t>
      </w:r>
      <w:r w:rsidR="00FF6151">
        <w:rPr>
          <w:rFonts w:ascii="Arial" w:hAnsi="Arial" w:cs="Arial"/>
        </w:rPr>
        <w:t>nd Policy to be adopted for the 20</w:t>
      </w:r>
      <w:r w:rsidR="00DD70EE">
        <w:rPr>
          <w:rFonts w:ascii="Arial" w:hAnsi="Arial" w:cs="Arial"/>
        </w:rPr>
        <w:t>21</w:t>
      </w:r>
      <w:r w:rsidR="00FF6151">
        <w:rPr>
          <w:rFonts w:ascii="Arial" w:hAnsi="Arial" w:cs="Arial"/>
        </w:rPr>
        <w:t>/2</w:t>
      </w:r>
      <w:r w:rsidR="00DD70EE">
        <w:rPr>
          <w:rFonts w:ascii="Arial" w:hAnsi="Arial" w:cs="Arial"/>
        </w:rPr>
        <w:t>2</w:t>
      </w:r>
      <w:r w:rsidR="00776485" w:rsidRPr="00AB555D">
        <w:rPr>
          <w:rFonts w:ascii="Arial" w:hAnsi="Arial" w:cs="Arial"/>
        </w:rPr>
        <w:t xml:space="preserve"> and</w:t>
      </w:r>
      <w:r w:rsidR="00FF6151">
        <w:rPr>
          <w:rFonts w:ascii="Arial" w:hAnsi="Arial" w:cs="Arial"/>
        </w:rPr>
        <w:t xml:space="preserve"> 202</w:t>
      </w:r>
      <w:r w:rsidR="00DD70EE">
        <w:rPr>
          <w:rFonts w:ascii="Arial" w:hAnsi="Arial" w:cs="Arial"/>
        </w:rPr>
        <w:t>2</w:t>
      </w:r>
      <w:r w:rsidR="00FF6151">
        <w:rPr>
          <w:rFonts w:ascii="Arial" w:hAnsi="Arial" w:cs="Arial"/>
        </w:rPr>
        <w:t>/2</w:t>
      </w:r>
      <w:r w:rsidR="00DD70EE">
        <w:rPr>
          <w:rFonts w:ascii="Arial" w:hAnsi="Arial" w:cs="Arial"/>
        </w:rPr>
        <w:t>3</w:t>
      </w:r>
      <w:r w:rsidR="00FF6151">
        <w:rPr>
          <w:rFonts w:ascii="Arial" w:hAnsi="Arial" w:cs="Arial"/>
        </w:rPr>
        <w:t xml:space="preserve"> academic years and</w:t>
      </w:r>
      <w:r w:rsidR="00776485" w:rsidRPr="00AB555D">
        <w:rPr>
          <w:rFonts w:ascii="Arial" w:hAnsi="Arial" w:cs="Arial"/>
        </w:rPr>
        <w:t xml:space="preserve"> has been developed in accordance with national/statutory guidance in relation to education and funding, including that published by the Education and Skills Funding Agency (ESFA).  It also sets a framework for ensuring that comprehensive guidance and information regarding fees for courses is available and accessible to customers, </w:t>
      </w:r>
      <w:r w:rsidR="000356AA">
        <w:rPr>
          <w:rFonts w:ascii="Arial" w:hAnsi="Arial" w:cs="Arial"/>
        </w:rPr>
        <w:t xml:space="preserve">prospective </w:t>
      </w:r>
      <w:r w:rsidR="008C74DC">
        <w:rPr>
          <w:rFonts w:ascii="Arial" w:hAnsi="Arial" w:cs="Arial"/>
        </w:rPr>
        <w:t>and current students</w:t>
      </w:r>
      <w:r w:rsidR="00776485" w:rsidRPr="00AB555D">
        <w:rPr>
          <w:rFonts w:ascii="Arial" w:hAnsi="Arial" w:cs="Arial"/>
        </w:rPr>
        <w:t xml:space="preserve"> and staff.</w:t>
      </w:r>
    </w:p>
    <w:p w:rsidR="000356AA" w:rsidRDefault="000356AA" w:rsidP="000356AA">
      <w:pPr>
        <w:rPr>
          <w:rFonts w:ascii="Arial" w:hAnsi="Arial" w:cs="Arial"/>
        </w:rPr>
      </w:pPr>
    </w:p>
    <w:p w:rsidR="00B921DC" w:rsidRPr="000356AA" w:rsidRDefault="000356AA" w:rsidP="000356AA">
      <w:pPr>
        <w:ind w:left="713" w:hanging="495"/>
        <w:rPr>
          <w:rFonts w:ascii="Arial" w:hAnsi="Arial" w:cs="Arial"/>
        </w:rPr>
      </w:pPr>
      <w:r w:rsidRPr="000356AA">
        <w:rPr>
          <w:rFonts w:ascii="Arial" w:hAnsi="Arial" w:cs="Arial"/>
          <w:sz w:val="22"/>
          <w:szCs w:val="22"/>
        </w:rPr>
        <w:t>1.2</w:t>
      </w:r>
      <w:r>
        <w:rPr>
          <w:rFonts w:ascii="Arial" w:hAnsi="Arial" w:cs="Arial"/>
        </w:rPr>
        <w:tab/>
      </w:r>
      <w:r w:rsidRPr="000356AA">
        <w:rPr>
          <w:rFonts w:ascii="Arial" w:hAnsi="Arial" w:cs="Arial"/>
          <w:sz w:val="22"/>
          <w:szCs w:val="22"/>
        </w:rPr>
        <w:t>Any subsequent amendments</w:t>
      </w:r>
      <w:r>
        <w:rPr>
          <w:rFonts w:ascii="Arial" w:hAnsi="Arial" w:cs="Arial"/>
          <w:sz w:val="22"/>
          <w:szCs w:val="22"/>
        </w:rPr>
        <w:t xml:space="preserve"> to this policy will </w:t>
      </w:r>
      <w:r w:rsidRPr="000356AA">
        <w:rPr>
          <w:rFonts w:ascii="Arial" w:hAnsi="Arial" w:cs="Arial"/>
          <w:sz w:val="22"/>
          <w:szCs w:val="22"/>
        </w:rPr>
        <w:t>require the approval of the Corporate Services Committee</w:t>
      </w:r>
      <w:r>
        <w:rPr>
          <w:rFonts w:ascii="Arial" w:hAnsi="Arial" w:cs="Arial"/>
          <w:sz w:val="22"/>
          <w:szCs w:val="22"/>
        </w:rPr>
        <w:t xml:space="preserve">.  It is expected that this will only happen in the event of any significant change in Government Policy.  </w:t>
      </w:r>
      <w:r w:rsidR="00B921DC" w:rsidRPr="000356AA">
        <w:rPr>
          <w:rFonts w:ascii="Arial" w:hAnsi="Arial" w:cs="Arial"/>
        </w:rPr>
        <w:tab/>
        <w:t xml:space="preserve"> </w:t>
      </w:r>
    </w:p>
    <w:p w:rsidR="00B921DC" w:rsidRPr="00AB555D" w:rsidRDefault="00B921DC" w:rsidP="006755BC">
      <w:pPr>
        <w:ind w:hanging="142"/>
        <w:rPr>
          <w:rFonts w:ascii="Arial" w:hAnsi="Arial" w:cs="Arial"/>
          <w:sz w:val="22"/>
          <w:szCs w:val="22"/>
        </w:rPr>
      </w:pPr>
    </w:p>
    <w:p w:rsidR="002D2879" w:rsidRPr="00AB555D" w:rsidRDefault="002D2879" w:rsidP="002D2879">
      <w:pPr>
        <w:rPr>
          <w:rFonts w:ascii="Arial" w:hAnsi="Arial" w:cs="Arial"/>
          <w:sz w:val="22"/>
          <w:szCs w:val="22"/>
        </w:rPr>
      </w:pPr>
    </w:p>
    <w:p w:rsidR="002D2879" w:rsidRPr="00316BC1" w:rsidRDefault="002341B9" w:rsidP="00776485">
      <w:pPr>
        <w:pStyle w:val="ListParagraph"/>
        <w:numPr>
          <w:ilvl w:val="0"/>
          <w:numId w:val="11"/>
        </w:numPr>
        <w:rPr>
          <w:rFonts w:ascii="Arial" w:hAnsi="Arial" w:cs="Arial"/>
          <w:b/>
        </w:rPr>
      </w:pPr>
      <w:r w:rsidRPr="00316BC1">
        <w:rPr>
          <w:rFonts w:ascii="Arial" w:hAnsi="Arial" w:cs="Arial"/>
          <w:b/>
        </w:rPr>
        <w:t xml:space="preserve">Further Education (ESFA) </w:t>
      </w:r>
      <w:r w:rsidR="00C44C10" w:rsidRPr="00316BC1">
        <w:rPr>
          <w:rFonts w:ascii="Arial" w:hAnsi="Arial" w:cs="Arial"/>
          <w:b/>
        </w:rPr>
        <w:t xml:space="preserve">funded </w:t>
      </w:r>
      <w:r w:rsidR="00DD70EE">
        <w:rPr>
          <w:rFonts w:ascii="Arial" w:hAnsi="Arial" w:cs="Arial"/>
          <w:b/>
        </w:rPr>
        <w:t>students</w:t>
      </w:r>
    </w:p>
    <w:p w:rsidR="00316BC1" w:rsidRPr="00AB555D" w:rsidRDefault="00316BC1" w:rsidP="00316BC1">
      <w:pPr>
        <w:pStyle w:val="ListParagraph"/>
        <w:ind w:left="218"/>
        <w:rPr>
          <w:rFonts w:ascii="Arial" w:hAnsi="Arial" w:cs="Arial"/>
        </w:rPr>
      </w:pPr>
    </w:p>
    <w:p w:rsidR="00776485" w:rsidRPr="00AB555D" w:rsidRDefault="0088022A" w:rsidP="0088022A">
      <w:pPr>
        <w:pStyle w:val="ListParagraph"/>
        <w:numPr>
          <w:ilvl w:val="1"/>
          <w:numId w:val="11"/>
        </w:numPr>
        <w:rPr>
          <w:rFonts w:ascii="Arial" w:hAnsi="Arial" w:cs="Arial"/>
        </w:rPr>
      </w:pPr>
      <w:r w:rsidRPr="00AB555D">
        <w:rPr>
          <w:rFonts w:ascii="Arial" w:hAnsi="Arial" w:cs="Arial"/>
        </w:rPr>
        <w:t>The ESFA funding approach assumes that all students other than those eligible for full fee remission are charged a tuition fee as a contribution towards the co</w:t>
      </w:r>
      <w:r w:rsidR="00FF6151">
        <w:rPr>
          <w:rFonts w:ascii="Arial" w:hAnsi="Arial" w:cs="Arial"/>
        </w:rPr>
        <w:t>sts</w:t>
      </w:r>
      <w:r w:rsidR="00DA7A0B">
        <w:rPr>
          <w:rFonts w:ascii="Arial" w:hAnsi="Arial" w:cs="Arial"/>
        </w:rPr>
        <w:t xml:space="preserve"> of their learning.  For 20</w:t>
      </w:r>
      <w:r w:rsidR="00DD70EE">
        <w:rPr>
          <w:rFonts w:ascii="Arial" w:hAnsi="Arial" w:cs="Arial"/>
        </w:rPr>
        <w:t>21</w:t>
      </w:r>
      <w:r w:rsidR="00DA7A0B">
        <w:rPr>
          <w:rFonts w:ascii="Arial" w:hAnsi="Arial" w:cs="Arial"/>
        </w:rPr>
        <w:t>/</w:t>
      </w:r>
      <w:r w:rsidR="00DD70EE">
        <w:rPr>
          <w:rFonts w:ascii="Arial" w:hAnsi="Arial" w:cs="Arial"/>
        </w:rPr>
        <w:t>22</w:t>
      </w:r>
      <w:r w:rsidR="00DA7A0B">
        <w:rPr>
          <w:rFonts w:ascii="Arial" w:hAnsi="Arial" w:cs="Arial"/>
        </w:rPr>
        <w:t xml:space="preserve"> on</w:t>
      </w:r>
      <w:r w:rsidR="00DE7334">
        <w:rPr>
          <w:rFonts w:ascii="Arial" w:hAnsi="Arial" w:cs="Arial"/>
        </w:rPr>
        <w:t>w</w:t>
      </w:r>
      <w:r w:rsidR="00DA7A0B">
        <w:rPr>
          <w:rFonts w:ascii="Arial" w:hAnsi="Arial" w:cs="Arial"/>
        </w:rPr>
        <w:t>ards</w:t>
      </w:r>
      <w:r w:rsidRPr="00AB555D">
        <w:rPr>
          <w:rFonts w:ascii="Arial" w:hAnsi="Arial" w:cs="Arial"/>
        </w:rPr>
        <w:t xml:space="preserve"> the ESFA’s assumed fee income remains at 50% of the </w:t>
      </w:r>
      <w:r w:rsidR="00DD70EE">
        <w:rPr>
          <w:rFonts w:ascii="Arial" w:hAnsi="Arial" w:cs="Arial"/>
        </w:rPr>
        <w:t xml:space="preserve">unweighted </w:t>
      </w:r>
      <w:r w:rsidRPr="00AB555D">
        <w:rPr>
          <w:rFonts w:ascii="Arial" w:hAnsi="Arial" w:cs="Arial"/>
        </w:rPr>
        <w:t>funding value for the learning aim, where the learner is not in receipt of full fee remission.</w:t>
      </w:r>
    </w:p>
    <w:p w:rsidR="0088022A" w:rsidRPr="00AB555D" w:rsidRDefault="0088022A" w:rsidP="0088022A">
      <w:pPr>
        <w:rPr>
          <w:rFonts w:ascii="Arial" w:hAnsi="Arial" w:cs="Arial"/>
          <w:sz w:val="22"/>
          <w:szCs w:val="22"/>
        </w:rPr>
      </w:pPr>
    </w:p>
    <w:p w:rsidR="00221ED2" w:rsidRPr="00AB555D" w:rsidRDefault="0088022A" w:rsidP="00221ED2">
      <w:pPr>
        <w:pStyle w:val="ListParagraph"/>
        <w:numPr>
          <w:ilvl w:val="1"/>
          <w:numId w:val="11"/>
        </w:numPr>
        <w:rPr>
          <w:rFonts w:ascii="Arial" w:hAnsi="Arial" w:cs="Arial"/>
        </w:rPr>
      </w:pPr>
      <w:r w:rsidRPr="00AB555D">
        <w:rPr>
          <w:rFonts w:ascii="Arial" w:hAnsi="Arial" w:cs="Arial"/>
        </w:rPr>
        <w:t>The values of ESFA approved courses are published on the Learning Aims System.  The College will ensure that no tuition/exam/registration charges are made to a</w:t>
      </w:r>
      <w:r w:rsidR="008C74DC">
        <w:rPr>
          <w:rFonts w:ascii="Arial" w:hAnsi="Arial" w:cs="Arial"/>
        </w:rPr>
        <w:t>ny student</w:t>
      </w:r>
      <w:r w:rsidRPr="00AB555D">
        <w:rPr>
          <w:rFonts w:ascii="Arial" w:hAnsi="Arial" w:cs="Arial"/>
        </w:rPr>
        <w:t xml:space="preserve"> eligible for fee re</w:t>
      </w:r>
      <w:r w:rsidR="00CE4F82">
        <w:rPr>
          <w:rFonts w:ascii="Arial" w:hAnsi="Arial" w:cs="Arial"/>
        </w:rPr>
        <w:t xml:space="preserve">mission and </w:t>
      </w:r>
      <w:r w:rsidRPr="00AB555D">
        <w:rPr>
          <w:rFonts w:ascii="Arial" w:hAnsi="Arial" w:cs="Arial"/>
        </w:rPr>
        <w:t>fees for other learners are set at 50% of the funding value, plus a 10% charge towards exam/registr</w:t>
      </w:r>
      <w:r w:rsidR="00221ED2" w:rsidRPr="00AB555D">
        <w:rPr>
          <w:rFonts w:ascii="Arial" w:hAnsi="Arial" w:cs="Arial"/>
        </w:rPr>
        <w:t>ation fees.  For F</w:t>
      </w:r>
      <w:r w:rsidR="00447362">
        <w:rPr>
          <w:rFonts w:ascii="Arial" w:hAnsi="Arial" w:cs="Arial"/>
        </w:rPr>
        <w:t>ull Time students</w:t>
      </w:r>
      <w:r w:rsidR="00CE4F82">
        <w:rPr>
          <w:rFonts w:ascii="Arial" w:hAnsi="Arial" w:cs="Arial"/>
        </w:rPr>
        <w:t xml:space="preserve">, </w:t>
      </w:r>
      <w:r w:rsidR="00FF6151">
        <w:rPr>
          <w:rFonts w:ascii="Arial" w:hAnsi="Arial" w:cs="Arial"/>
        </w:rPr>
        <w:t>the fi</w:t>
      </w:r>
      <w:r w:rsidR="00CE4F82">
        <w:rPr>
          <w:rFonts w:ascii="Arial" w:hAnsi="Arial" w:cs="Arial"/>
        </w:rPr>
        <w:t xml:space="preserve">xed rate fee </w:t>
      </w:r>
      <w:r w:rsidR="00DD70EE">
        <w:rPr>
          <w:rFonts w:ascii="Arial" w:hAnsi="Arial" w:cs="Arial"/>
        </w:rPr>
        <w:t>is set at £1695.</w:t>
      </w:r>
    </w:p>
    <w:p w:rsidR="00221ED2" w:rsidRPr="00AB555D" w:rsidRDefault="00221ED2" w:rsidP="00221ED2">
      <w:pPr>
        <w:pStyle w:val="ListParagraph"/>
        <w:rPr>
          <w:rFonts w:ascii="Arial" w:hAnsi="Arial" w:cs="Arial"/>
        </w:rPr>
      </w:pPr>
    </w:p>
    <w:p w:rsidR="00221ED2" w:rsidRPr="00316BC1" w:rsidRDefault="00221ED2" w:rsidP="00221ED2">
      <w:pPr>
        <w:pStyle w:val="ListParagraph"/>
        <w:numPr>
          <w:ilvl w:val="0"/>
          <w:numId w:val="11"/>
        </w:numPr>
        <w:rPr>
          <w:rFonts w:ascii="Arial" w:hAnsi="Arial" w:cs="Arial"/>
          <w:b/>
        </w:rPr>
      </w:pPr>
      <w:r w:rsidRPr="00316BC1">
        <w:rPr>
          <w:rFonts w:ascii="Arial" w:hAnsi="Arial" w:cs="Arial"/>
          <w:b/>
        </w:rPr>
        <w:t>Advanced Learning Loans</w:t>
      </w:r>
    </w:p>
    <w:p w:rsidR="00316BC1" w:rsidRPr="00AB555D" w:rsidRDefault="00316BC1" w:rsidP="00316BC1">
      <w:pPr>
        <w:pStyle w:val="ListParagraph"/>
        <w:ind w:left="218"/>
        <w:rPr>
          <w:rFonts w:ascii="Arial" w:hAnsi="Arial" w:cs="Arial"/>
        </w:rPr>
      </w:pPr>
    </w:p>
    <w:p w:rsidR="00AD7339" w:rsidRPr="00AB555D" w:rsidRDefault="00AD7339" w:rsidP="00AD7339">
      <w:pPr>
        <w:pStyle w:val="ListParagraph"/>
        <w:numPr>
          <w:ilvl w:val="1"/>
          <w:numId w:val="11"/>
        </w:numPr>
        <w:rPr>
          <w:rFonts w:ascii="Arial" w:hAnsi="Arial" w:cs="Arial"/>
        </w:rPr>
      </w:pPr>
      <w:r w:rsidRPr="00AB555D">
        <w:rPr>
          <w:rFonts w:ascii="Arial" w:hAnsi="Arial" w:cs="Arial"/>
        </w:rPr>
        <w:t>There is no public funding of Level 3+ courses (non-apprenticeships</w:t>
      </w:r>
      <w:r w:rsidR="00DE7334">
        <w:rPr>
          <w:rFonts w:ascii="Arial" w:hAnsi="Arial" w:cs="Arial"/>
        </w:rPr>
        <w:t>) for those aged 19 and above at</w:t>
      </w:r>
      <w:r w:rsidRPr="00AB555D">
        <w:rPr>
          <w:rFonts w:ascii="Arial" w:hAnsi="Arial" w:cs="Arial"/>
        </w:rPr>
        <w:t xml:space="preserve"> the start of their programme, with the exception of those aged 19-23 studying their first full level </w:t>
      </w:r>
      <w:r w:rsidR="00447362">
        <w:rPr>
          <w:rFonts w:ascii="Arial" w:hAnsi="Arial" w:cs="Arial"/>
        </w:rPr>
        <w:t>3 qualification</w:t>
      </w:r>
      <w:r w:rsidR="00DD70EE">
        <w:rPr>
          <w:rFonts w:ascii="Arial" w:hAnsi="Arial" w:cs="Arial"/>
        </w:rPr>
        <w:t xml:space="preserve"> or those eligible under the new National Skills Funding offer which applies from 1 April 2021</w:t>
      </w:r>
      <w:r w:rsidR="00447362">
        <w:rPr>
          <w:rFonts w:ascii="Arial" w:hAnsi="Arial" w:cs="Arial"/>
        </w:rPr>
        <w:t>.  Other students</w:t>
      </w:r>
      <w:r w:rsidRPr="00AB555D">
        <w:rPr>
          <w:rFonts w:ascii="Arial" w:hAnsi="Arial" w:cs="Arial"/>
        </w:rPr>
        <w:t xml:space="preserve"> wishing to study level 3+ courses may be</w:t>
      </w:r>
      <w:r w:rsidR="00CC464F">
        <w:rPr>
          <w:rFonts w:ascii="Arial" w:hAnsi="Arial" w:cs="Arial"/>
        </w:rPr>
        <w:t xml:space="preserve"> eligible fo</w:t>
      </w:r>
      <w:r w:rsidR="00DD70EE">
        <w:rPr>
          <w:rFonts w:ascii="Arial" w:hAnsi="Arial" w:cs="Arial"/>
        </w:rPr>
        <w:t>r an</w:t>
      </w:r>
      <w:r w:rsidR="00CC464F">
        <w:rPr>
          <w:rFonts w:ascii="Arial" w:hAnsi="Arial" w:cs="Arial"/>
        </w:rPr>
        <w:t xml:space="preserve"> Advanced Learner L</w:t>
      </w:r>
      <w:r w:rsidRPr="00AB555D">
        <w:rPr>
          <w:rFonts w:ascii="Arial" w:hAnsi="Arial" w:cs="Arial"/>
        </w:rPr>
        <w:t>oans.</w:t>
      </w:r>
    </w:p>
    <w:p w:rsidR="00AD7339" w:rsidRPr="00AB555D" w:rsidRDefault="00AD7339" w:rsidP="00AD7339">
      <w:pPr>
        <w:rPr>
          <w:rFonts w:ascii="Arial" w:hAnsi="Arial" w:cs="Arial"/>
          <w:sz w:val="22"/>
          <w:szCs w:val="22"/>
        </w:rPr>
      </w:pPr>
    </w:p>
    <w:p w:rsidR="001F5B6E" w:rsidRDefault="003061AE" w:rsidP="001F5B6E">
      <w:pPr>
        <w:pStyle w:val="ListParagraph"/>
        <w:numPr>
          <w:ilvl w:val="1"/>
          <w:numId w:val="11"/>
        </w:numPr>
        <w:rPr>
          <w:rFonts w:ascii="Arial" w:hAnsi="Arial" w:cs="Arial"/>
        </w:rPr>
      </w:pPr>
      <w:r>
        <w:rPr>
          <w:rFonts w:ascii="Arial" w:hAnsi="Arial" w:cs="Arial"/>
        </w:rPr>
        <w:t xml:space="preserve">The loan amount is </w:t>
      </w:r>
      <w:r w:rsidR="00AD7339" w:rsidRPr="00AB555D">
        <w:rPr>
          <w:rFonts w:ascii="Arial" w:hAnsi="Arial" w:cs="Arial"/>
        </w:rPr>
        <w:t xml:space="preserve">set at 100% of the ESFA published </w:t>
      </w:r>
      <w:r w:rsidR="00DD70EE">
        <w:rPr>
          <w:rFonts w:ascii="Arial" w:hAnsi="Arial" w:cs="Arial"/>
        </w:rPr>
        <w:t xml:space="preserve">weighted </w:t>
      </w:r>
      <w:r w:rsidR="00AD7339" w:rsidRPr="00AB555D">
        <w:rPr>
          <w:rFonts w:ascii="Arial" w:hAnsi="Arial" w:cs="Arial"/>
        </w:rPr>
        <w:t>funding rate for ea</w:t>
      </w:r>
      <w:r w:rsidR="00447362">
        <w:rPr>
          <w:rFonts w:ascii="Arial" w:hAnsi="Arial" w:cs="Arial"/>
        </w:rPr>
        <w:t>ch qualification.  Students</w:t>
      </w:r>
      <w:r w:rsidR="00AD7339" w:rsidRPr="00AB555D">
        <w:rPr>
          <w:rFonts w:ascii="Arial" w:hAnsi="Arial" w:cs="Arial"/>
        </w:rPr>
        <w:t xml:space="preserve"> not wishing to enter into a loan agreement</w:t>
      </w:r>
      <w:r w:rsidR="0035661B">
        <w:rPr>
          <w:rFonts w:ascii="Arial" w:hAnsi="Arial" w:cs="Arial"/>
        </w:rPr>
        <w:t xml:space="preserve"> </w:t>
      </w:r>
      <w:r w:rsidR="00FF6151">
        <w:rPr>
          <w:rFonts w:ascii="Arial" w:hAnsi="Arial" w:cs="Arial"/>
        </w:rPr>
        <w:t xml:space="preserve">will be liable for payment </w:t>
      </w:r>
      <w:r w:rsidR="00506741" w:rsidRPr="00AB555D">
        <w:rPr>
          <w:rFonts w:ascii="Arial" w:hAnsi="Arial" w:cs="Arial"/>
        </w:rPr>
        <w:t>of the relevant course fee – a 10% discount be offered to those who pay the fee in full at the point of enrolment.</w:t>
      </w:r>
    </w:p>
    <w:p w:rsidR="0000219B" w:rsidRPr="0000219B" w:rsidRDefault="0000219B" w:rsidP="0000219B">
      <w:pPr>
        <w:pStyle w:val="ListParagraph"/>
        <w:rPr>
          <w:rFonts w:ascii="Arial" w:hAnsi="Arial" w:cs="Arial"/>
        </w:rPr>
      </w:pPr>
    </w:p>
    <w:p w:rsidR="0000219B" w:rsidRPr="00AB555D" w:rsidRDefault="0000219B" w:rsidP="001F5B6E">
      <w:pPr>
        <w:pStyle w:val="ListParagraph"/>
        <w:numPr>
          <w:ilvl w:val="1"/>
          <w:numId w:val="11"/>
        </w:numPr>
        <w:rPr>
          <w:rFonts w:ascii="Arial" w:hAnsi="Arial" w:cs="Arial"/>
        </w:rPr>
      </w:pPr>
      <w:r>
        <w:rPr>
          <w:rFonts w:ascii="Arial" w:hAnsi="Arial" w:cs="Arial"/>
        </w:rPr>
        <w:t xml:space="preserve">Where fees are covered by an Advanced Learning Loan the student must ensure that they have applied for a loan before the start of the course and </w:t>
      </w:r>
      <w:r w:rsidR="00447362">
        <w:rPr>
          <w:rFonts w:ascii="Arial" w:hAnsi="Arial" w:cs="Arial"/>
        </w:rPr>
        <w:t xml:space="preserve">at the latest </w:t>
      </w:r>
      <w:r>
        <w:rPr>
          <w:rFonts w:ascii="Arial" w:hAnsi="Arial" w:cs="Arial"/>
        </w:rPr>
        <w:t xml:space="preserve">by no later than the end of week 3.  Failure to provide evidence </w:t>
      </w:r>
      <w:r w:rsidR="00447362">
        <w:rPr>
          <w:rFonts w:ascii="Arial" w:hAnsi="Arial" w:cs="Arial"/>
        </w:rPr>
        <w:t xml:space="preserve">of </w:t>
      </w:r>
      <w:r>
        <w:rPr>
          <w:rFonts w:ascii="Arial" w:hAnsi="Arial" w:cs="Arial"/>
        </w:rPr>
        <w:t>loan eligibility will result in withdrawal from the course if no other means of payment are made.</w:t>
      </w:r>
    </w:p>
    <w:p w:rsidR="001F5B6E" w:rsidRPr="00AB555D" w:rsidRDefault="001F5B6E" w:rsidP="001F5B6E">
      <w:pPr>
        <w:pStyle w:val="ListParagraph"/>
        <w:rPr>
          <w:rFonts w:ascii="Arial" w:hAnsi="Arial" w:cs="Arial"/>
        </w:rPr>
      </w:pPr>
    </w:p>
    <w:p w:rsidR="001F5B6E" w:rsidRPr="004627AE" w:rsidRDefault="001F5B6E" w:rsidP="001F5B6E">
      <w:pPr>
        <w:pStyle w:val="ListParagraph"/>
        <w:numPr>
          <w:ilvl w:val="0"/>
          <w:numId w:val="11"/>
        </w:numPr>
        <w:rPr>
          <w:rFonts w:ascii="Arial" w:hAnsi="Arial" w:cs="Arial"/>
          <w:b/>
        </w:rPr>
      </w:pPr>
      <w:r w:rsidRPr="004627AE">
        <w:rPr>
          <w:rFonts w:ascii="Arial" w:hAnsi="Arial" w:cs="Arial"/>
          <w:b/>
        </w:rPr>
        <w:t>Apprenticeships</w:t>
      </w:r>
    </w:p>
    <w:p w:rsidR="004627AE" w:rsidRPr="00AB555D" w:rsidRDefault="004627AE" w:rsidP="004627AE">
      <w:pPr>
        <w:pStyle w:val="ListParagraph"/>
        <w:ind w:left="218"/>
        <w:rPr>
          <w:rFonts w:ascii="Arial" w:hAnsi="Arial" w:cs="Arial"/>
        </w:rPr>
      </w:pPr>
    </w:p>
    <w:p w:rsidR="001F5B6E" w:rsidRPr="00AB555D" w:rsidRDefault="001F5B6E" w:rsidP="001F5B6E">
      <w:pPr>
        <w:pStyle w:val="ListParagraph"/>
        <w:numPr>
          <w:ilvl w:val="1"/>
          <w:numId w:val="11"/>
        </w:numPr>
        <w:rPr>
          <w:rFonts w:ascii="Arial" w:hAnsi="Arial" w:cs="Arial"/>
        </w:rPr>
      </w:pPr>
      <w:r w:rsidRPr="00AB555D">
        <w:rPr>
          <w:rFonts w:ascii="Arial" w:hAnsi="Arial" w:cs="Arial"/>
        </w:rPr>
        <w:t>The funding system for apprentices changed significantly on 1 May 2017 with the introduction of a 0.5% levy for large employers with a pay bill in excess of £3 million which then creates a ‘levy fund’ for the employer to pay for apprenticeship training.  For ‘</w:t>
      </w:r>
      <w:proofErr w:type="gramStart"/>
      <w:r w:rsidRPr="00AB555D">
        <w:rPr>
          <w:rFonts w:ascii="Arial" w:hAnsi="Arial" w:cs="Arial"/>
        </w:rPr>
        <w:t xml:space="preserve">non </w:t>
      </w:r>
      <w:r w:rsidRPr="00AB555D">
        <w:rPr>
          <w:rFonts w:ascii="Arial" w:hAnsi="Arial" w:cs="Arial"/>
        </w:rPr>
        <w:lastRenderedPageBreak/>
        <w:t>levy</w:t>
      </w:r>
      <w:proofErr w:type="gramEnd"/>
      <w:r w:rsidRPr="00AB555D">
        <w:rPr>
          <w:rFonts w:ascii="Arial" w:hAnsi="Arial" w:cs="Arial"/>
        </w:rPr>
        <w:t>’ employers apprentices are co-funded by the ESFA in the ratio of 9</w:t>
      </w:r>
      <w:r w:rsidR="00DD70EE">
        <w:rPr>
          <w:rFonts w:ascii="Arial" w:hAnsi="Arial" w:cs="Arial"/>
        </w:rPr>
        <w:t>5</w:t>
      </w:r>
      <w:r w:rsidRPr="00AB555D">
        <w:rPr>
          <w:rFonts w:ascii="Arial" w:hAnsi="Arial" w:cs="Arial"/>
        </w:rPr>
        <w:t xml:space="preserve">% from the ESFA with the remaining </w:t>
      </w:r>
      <w:r w:rsidR="00DD70EE">
        <w:rPr>
          <w:rFonts w:ascii="Arial" w:hAnsi="Arial" w:cs="Arial"/>
        </w:rPr>
        <w:t>5</w:t>
      </w:r>
      <w:r w:rsidR="00FF6151">
        <w:rPr>
          <w:rFonts w:ascii="Arial" w:hAnsi="Arial" w:cs="Arial"/>
        </w:rPr>
        <w:t>% collected from the employe</w:t>
      </w:r>
      <w:r w:rsidR="00263F9A">
        <w:rPr>
          <w:rFonts w:ascii="Arial" w:hAnsi="Arial" w:cs="Arial"/>
        </w:rPr>
        <w:t>r.</w:t>
      </w:r>
    </w:p>
    <w:p w:rsidR="001F5B6E" w:rsidRPr="00AB555D" w:rsidRDefault="001F5B6E" w:rsidP="001F5B6E">
      <w:pPr>
        <w:pStyle w:val="ListParagraph"/>
        <w:ind w:left="218"/>
        <w:rPr>
          <w:rFonts w:ascii="Arial" w:hAnsi="Arial" w:cs="Arial"/>
        </w:rPr>
      </w:pPr>
    </w:p>
    <w:p w:rsidR="001F5B6E" w:rsidRPr="00AB555D" w:rsidRDefault="001F5B6E" w:rsidP="001F5B6E">
      <w:pPr>
        <w:pStyle w:val="ListParagraph"/>
        <w:ind w:left="218"/>
        <w:rPr>
          <w:rFonts w:ascii="Arial" w:hAnsi="Arial" w:cs="Arial"/>
        </w:rPr>
      </w:pPr>
    </w:p>
    <w:p w:rsidR="00FB194E" w:rsidRPr="00AB555D" w:rsidRDefault="001F5B6E" w:rsidP="00FB194E">
      <w:pPr>
        <w:pStyle w:val="ListParagraph"/>
        <w:numPr>
          <w:ilvl w:val="1"/>
          <w:numId w:val="11"/>
        </w:numPr>
        <w:rPr>
          <w:rFonts w:ascii="Arial" w:hAnsi="Arial" w:cs="Arial"/>
        </w:rPr>
      </w:pPr>
      <w:r w:rsidRPr="00AB555D">
        <w:rPr>
          <w:rFonts w:ascii="Arial" w:hAnsi="Arial" w:cs="Arial"/>
        </w:rPr>
        <w:t xml:space="preserve">The actual level of payments or ESFA funding and fees required from the employer, will be determined from the ‘funding band’ attached to </w:t>
      </w:r>
      <w:r w:rsidR="00DD70EE">
        <w:rPr>
          <w:rFonts w:ascii="Arial" w:hAnsi="Arial" w:cs="Arial"/>
        </w:rPr>
        <w:t xml:space="preserve">apprenticeship </w:t>
      </w:r>
      <w:r w:rsidRPr="00AB555D">
        <w:rPr>
          <w:rFonts w:ascii="Arial" w:hAnsi="Arial" w:cs="Arial"/>
        </w:rPr>
        <w:t>standard</w:t>
      </w:r>
      <w:r w:rsidR="00DD70EE">
        <w:rPr>
          <w:rFonts w:ascii="Arial" w:hAnsi="Arial" w:cs="Arial"/>
        </w:rPr>
        <w:t>, together with the outcomes of the individual skills scan for each apprentice.</w:t>
      </w:r>
      <w:bookmarkStart w:id="0" w:name="_GoBack"/>
      <w:bookmarkEnd w:id="0"/>
      <w:r w:rsidRPr="00AB555D">
        <w:rPr>
          <w:rFonts w:ascii="Arial" w:hAnsi="Arial" w:cs="Arial"/>
        </w:rPr>
        <w:t xml:space="preserve">  A costing</w:t>
      </w:r>
      <w:r w:rsidR="00AA5F2E" w:rsidRPr="00AB555D">
        <w:rPr>
          <w:rFonts w:ascii="Arial" w:hAnsi="Arial" w:cs="Arial"/>
        </w:rPr>
        <w:t>s</w:t>
      </w:r>
      <w:r w:rsidRPr="00AB555D">
        <w:rPr>
          <w:rFonts w:ascii="Arial" w:hAnsi="Arial" w:cs="Arial"/>
        </w:rPr>
        <w:t xml:space="preserve"> template is</w:t>
      </w:r>
      <w:r w:rsidR="00AA5F2E" w:rsidRPr="00AB555D">
        <w:rPr>
          <w:rFonts w:ascii="Arial" w:hAnsi="Arial" w:cs="Arial"/>
        </w:rPr>
        <w:t xml:space="preserve"> used to identify all applicable costs </w:t>
      </w:r>
      <w:r w:rsidR="00DD70EE">
        <w:rPr>
          <w:rFonts w:ascii="Arial" w:hAnsi="Arial" w:cs="Arial"/>
        </w:rPr>
        <w:t>and to agree the final price.</w:t>
      </w:r>
    </w:p>
    <w:p w:rsidR="00FB194E" w:rsidRPr="00AB555D" w:rsidRDefault="00FB194E" w:rsidP="00FB194E">
      <w:pPr>
        <w:rPr>
          <w:rFonts w:ascii="Arial" w:hAnsi="Arial" w:cs="Arial"/>
          <w:sz w:val="22"/>
          <w:szCs w:val="22"/>
        </w:rPr>
      </w:pPr>
    </w:p>
    <w:p w:rsidR="00FB194E" w:rsidRPr="00AB555D" w:rsidRDefault="00FB194E" w:rsidP="00FB194E">
      <w:pPr>
        <w:rPr>
          <w:rFonts w:ascii="Arial" w:hAnsi="Arial" w:cs="Arial"/>
          <w:sz w:val="22"/>
          <w:szCs w:val="22"/>
        </w:rPr>
      </w:pPr>
    </w:p>
    <w:p w:rsidR="0088022A" w:rsidRPr="004627AE" w:rsidRDefault="00FB194E" w:rsidP="00FB194E">
      <w:pPr>
        <w:pStyle w:val="ListParagraph"/>
        <w:numPr>
          <w:ilvl w:val="0"/>
          <w:numId w:val="11"/>
        </w:numPr>
        <w:rPr>
          <w:rFonts w:ascii="Arial" w:hAnsi="Arial" w:cs="Arial"/>
          <w:b/>
        </w:rPr>
      </w:pPr>
      <w:r w:rsidRPr="004627AE">
        <w:rPr>
          <w:rFonts w:ascii="Arial" w:hAnsi="Arial" w:cs="Arial"/>
          <w:b/>
        </w:rPr>
        <w:t>Higher Education</w:t>
      </w:r>
      <w:r w:rsidR="0088022A" w:rsidRPr="004627AE">
        <w:rPr>
          <w:rFonts w:ascii="Arial" w:hAnsi="Arial" w:cs="Arial"/>
          <w:b/>
        </w:rPr>
        <w:tab/>
      </w:r>
    </w:p>
    <w:p w:rsidR="004627AE" w:rsidRPr="00AB555D" w:rsidRDefault="004627AE" w:rsidP="004627AE">
      <w:pPr>
        <w:pStyle w:val="ListParagraph"/>
        <w:ind w:left="218"/>
        <w:rPr>
          <w:rFonts w:ascii="Arial" w:hAnsi="Arial" w:cs="Arial"/>
        </w:rPr>
      </w:pPr>
    </w:p>
    <w:p w:rsidR="00732525" w:rsidRPr="00AB555D" w:rsidRDefault="00447362" w:rsidP="00732525">
      <w:pPr>
        <w:pStyle w:val="ListParagraph"/>
        <w:numPr>
          <w:ilvl w:val="1"/>
          <w:numId w:val="11"/>
        </w:numPr>
        <w:rPr>
          <w:rFonts w:ascii="Arial" w:hAnsi="Arial" w:cs="Arial"/>
        </w:rPr>
      </w:pPr>
      <w:r>
        <w:rPr>
          <w:rFonts w:ascii="Arial" w:hAnsi="Arial" w:cs="Arial"/>
        </w:rPr>
        <w:t xml:space="preserve">The </w:t>
      </w:r>
      <w:proofErr w:type="gramStart"/>
      <w:r>
        <w:rPr>
          <w:rFonts w:ascii="Arial" w:hAnsi="Arial" w:cs="Arial"/>
        </w:rPr>
        <w:t>Full Time</w:t>
      </w:r>
      <w:proofErr w:type="gramEnd"/>
      <w:r>
        <w:rPr>
          <w:rFonts w:ascii="Arial" w:hAnsi="Arial" w:cs="Arial"/>
        </w:rPr>
        <w:t xml:space="preserve"> fee will be </w:t>
      </w:r>
      <w:r w:rsidR="00FF6151">
        <w:rPr>
          <w:rFonts w:ascii="Arial" w:hAnsi="Arial" w:cs="Arial"/>
        </w:rPr>
        <w:t>£</w:t>
      </w:r>
      <w:r>
        <w:rPr>
          <w:rFonts w:ascii="Arial" w:hAnsi="Arial" w:cs="Arial"/>
        </w:rPr>
        <w:t>5995 per year with students</w:t>
      </w:r>
      <w:r w:rsidR="00732525" w:rsidRPr="00AB555D">
        <w:rPr>
          <w:rFonts w:ascii="Arial" w:hAnsi="Arial" w:cs="Arial"/>
        </w:rPr>
        <w:t xml:space="preserve"> paying the same rate for each subsequent year of their programme</w:t>
      </w:r>
      <w:r>
        <w:rPr>
          <w:rFonts w:ascii="Arial" w:hAnsi="Arial" w:cs="Arial"/>
        </w:rPr>
        <w:t xml:space="preserve">.  The Part Time </w:t>
      </w:r>
      <w:r w:rsidR="00DE7334">
        <w:rPr>
          <w:rFonts w:ascii="Arial" w:hAnsi="Arial" w:cs="Arial"/>
        </w:rPr>
        <w:t xml:space="preserve">fee </w:t>
      </w:r>
      <w:r>
        <w:rPr>
          <w:rFonts w:ascii="Arial" w:hAnsi="Arial" w:cs="Arial"/>
        </w:rPr>
        <w:t xml:space="preserve">is </w:t>
      </w:r>
      <w:r w:rsidR="00732525" w:rsidRPr="00AB555D">
        <w:rPr>
          <w:rFonts w:ascii="Arial" w:hAnsi="Arial" w:cs="Arial"/>
        </w:rPr>
        <w:t>£</w:t>
      </w:r>
      <w:r w:rsidR="00DD70EE">
        <w:rPr>
          <w:rFonts w:ascii="Arial" w:hAnsi="Arial" w:cs="Arial"/>
        </w:rPr>
        <w:t>4000</w:t>
      </w:r>
      <w:r w:rsidR="00732525" w:rsidRPr="00AB555D">
        <w:rPr>
          <w:rFonts w:ascii="Arial" w:hAnsi="Arial" w:cs="Arial"/>
        </w:rPr>
        <w:t xml:space="preserve"> per year with the provision to moderate it if exceptional circumstances apply.</w:t>
      </w:r>
    </w:p>
    <w:p w:rsidR="00822AB8" w:rsidRPr="00AB555D" w:rsidRDefault="00822AB8" w:rsidP="00822AB8">
      <w:pPr>
        <w:ind w:left="218"/>
        <w:rPr>
          <w:rFonts w:ascii="Arial" w:hAnsi="Arial" w:cs="Arial"/>
          <w:sz w:val="22"/>
          <w:szCs w:val="22"/>
        </w:rPr>
      </w:pPr>
    </w:p>
    <w:p w:rsidR="00822AB8" w:rsidRPr="00AB555D" w:rsidRDefault="00447362" w:rsidP="00822AB8">
      <w:pPr>
        <w:pStyle w:val="ListParagraph"/>
        <w:numPr>
          <w:ilvl w:val="1"/>
          <w:numId w:val="11"/>
        </w:numPr>
        <w:rPr>
          <w:rFonts w:ascii="Arial" w:hAnsi="Arial" w:cs="Arial"/>
        </w:rPr>
      </w:pPr>
      <w:r>
        <w:rPr>
          <w:rFonts w:ascii="Arial" w:hAnsi="Arial" w:cs="Arial"/>
        </w:rPr>
        <w:t>Where students</w:t>
      </w:r>
      <w:r w:rsidR="00822AB8" w:rsidRPr="00AB555D">
        <w:rPr>
          <w:rFonts w:ascii="Arial" w:hAnsi="Arial" w:cs="Arial"/>
        </w:rPr>
        <w:t xml:space="preserve"> withdraw from their programme</w:t>
      </w:r>
      <w:r>
        <w:rPr>
          <w:rFonts w:ascii="Arial" w:hAnsi="Arial" w:cs="Arial"/>
        </w:rPr>
        <w:t xml:space="preserve">, </w:t>
      </w:r>
      <w:r w:rsidR="0035661B">
        <w:rPr>
          <w:rFonts w:ascii="Arial" w:hAnsi="Arial" w:cs="Arial"/>
        </w:rPr>
        <w:t xml:space="preserve">we align </w:t>
      </w:r>
      <w:r w:rsidR="00822AB8" w:rsidRPr="00AB555D">
        <w:rPr>
          <w:rFonts w:ascii="Arial" w:hAnsi="Arial" w:cs="Arial"/>
        </w:rPr>
        <w:t>our charges with guidance from Student Finance England, as follows:</w:t>
      </w:r>
    </w:p>
    <w:p w:rsidR="00822AB8" w:rsidRPr="00AB555D" w:rsidRDefault="00822AB8" w:rsidP="00822AB8">
      <w:pPr>
        <w:pStyle w:val="ListParagraph"/>
        <w:rPr>
          <w:rFonts w:ascii="Arial" w:hAnsi="Arial" w:cs="Arial"/>
        </w:rPr>
      </w:pPr>
    </w:p>
    <w:tbl>
      <w:tblPr>
        <w:tblW w:w="0" w:type="auto"/>
        <w:tblInd w:w="-318" w:type="dxa"/>
        <w:tblLook w:val="00A0" w:firstRow="1" w:lastRow="0" w:firstColumn="1" w:lastColumn="0" w:noHBand="0" w:noVBand="0"/>
      </w:tblPr>
      <w:tblGrid>
        <w:gridCol w:w="6730"/>
      </w:tblGrid>
      <w:tr w:rsidR="00822AB8" w:rsidRPr="00AB555D" w:rsidTr="00755385">
        <w:tc>
          <w:tcPr>
            <w:tcW w:w="6730" w:type="dxa"/>
            <w:shd w:val="clear" w:color="auto" w:fill="auto"/>
          </w:tcPr>
          <w:tbl>
            <w:tblPr>
              <w:tblW w:w="0" w:type="auto"/>
              <w:tblLook w:val="00A0" w:firstRow="1" w:lastRow="0" w:firstColumn="1" w:lastColumn="0" w:noHBand="0" w:noVBand="0"/>
            </w:tblPr>
            <w:tblGrid>
              <w:gridCol w:w="5921"/>
              <w:gridCol w:w="593"/>
            </w:tblGrid>
            <w:tr w:rsidR="00822AB8" w:rsidRPr="00AB555D" w:rsidTr="00755385">
              <w:tc>
                <w:tcPr>
                  <w:tcW w:w="6730" w:type="dxa"/>
                  <w:shd w:val="clear" w:color="auto" w:fill="auto"/>
                </w:tcPr>
                <w:tbl>
                  <w:tblPr>
                    <w:tblpPr w:leftFromText="180" w:rightFromText="180" w:vertAnchor="text" w:horzAnchor="page" w:tblpX="811" w:tblpY="-155"/>
                    <w:tblOverlap w:val="never"/>
                    <w:tblW w:w="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258"/>
                    <w:gridCol w:w="2552"/>
                  </w:tblGrid>
                  <w:tr w:rsidR="00DE6E49" w:rsidRPr="00AB555D" w:rsidTr="00DE6E49">
                    <w:tc>
                      <w:tcPr>
                        <w:tcW w:w="1728" w:type="dxa"/>
                        <w:shd w:val="clear" w:color="auto" w:fill="auto"/>
                      </w:tcPr>
                      <w:p w:rsidR="00DE6E49" w:rsidRPr="00AB555D" w:rsidRDefault="00DE6E49" w:rsidP="00822AB8">
                        <w:pPr>
                          <w:tabs>
                            <w:tab w:val="left" w:pos="851"/>
                          </w:tabs>
                          <w:rPr>
                            <w:rFonts w:ascii="Arial" w:hAnsi="Arial" w:cs="Arial"/>
                            <w:sz w:val="22"/>
                            <w:szCs w:val="22"/>
                          </w:rPr>
                        </w:pPr>
                        <w:r w:rsidRPr="00AB555D">
                          <w:rPr>
                            <w:rFonts w:ascii="Arial" w:hAnsi="Arial" w:cs="Arial"/>
                            <w:sz w:val="22"/>
                            <w:szCs w:val="22"/>
                          </w:rPr>
                          <w:t>Week of withdrawal</w:t>
                        </w:r>
                      </w:p>
                    </w:tc>
                    <w:tc>
                      <w:tcPr>
                        <w:tcW w:w="1258" w:type="dxa"/>
                        <w:shd w:val="clear" w:color="auto" w:fill="auto"/>
                      </w:tcPr>
                      <w:p w:rsidR="00DE6E49" w:rsidRPr="00AB555D" w:rsidRDefault="00DE6E49" w:rsidP="00822AB8">
                        <w:pPr>
                          <w:tabs>
                            <w:tab w:val="left" w:pos="851"/>
                          </w:tabs>
                          <w:rPr>
                            <w:rFonts w:ascii="Arial" w:hAnsi="Arial" w:cs="Arial"/>
                            <w:sz w:val="22"/>
                            <w:szCs w:val="22"/>
                          </w:rPr>
                        </w:pPr>
                      </w:p>
                    </w:tc>
                    <w:tc>
                      <w:tcPr>
                        <w:tcW w:w="2552" w:type="dxa"/>
                        <w:shd w:val="clear" w:color="auto" w:fill="auto"/>
                      </w:tcPr>
                      <w:p w:rsidR="00DE6E49" w:rsidRPr="00AB555D" w:rsidRDefault="00DE6E49" w:rsidP="00822AB8">
                        <w:pPr>
                          <w:tabs>
                            <w:tab w:val="left" w:pos="851"/>
                          </w:tabs>
                          <w:rPr>
                            <w:rFonts w:ascii="Arial" w:hAnsi="Arial" w:cs="Arial"/>
                            <w:sz w:val="22"/>
                            <w:szCs w:val="22"/>
                          </w:rPr>
                        </w:pPr>
                        <w:r w:rsidRPr="00AB555D">
                          <w:rPr>
                            <w:rFonts w:ascii="Arial" w:hAnsi="Arial" w:cs="Arial"/>
                            <w:sz w:val="22"/>
                            <w:szCs w:val="22"/>
                          </w:rPr>
                          <w:t>Percentage of annual tuition fees due</w:t>
                        </w:r>
                      </w:p>
                    </w:tc>
                  </w:tr>
                  <w:tr w:rsidR="00DE6E49" w:rsidRPr="00AB555D" w:rsidTr="00DE6E49">
                    <w:tc>
                      <w:tcPr>
                        <w:tcW w:w="1728" w:type="dxa"/>
                        <w:shd w:val="clear" w:color="auto" w:fill="auto"/>
                      </w:tcPr>
                      <w:p w:rsidR="00DE6E49" w:rsidRPr="00AB555D" w:rsidRDefault="00DE6E49" w:rsidP="00822AB8">
                        <w:pPr>
                          <w:tabs>
                            <w:tab w:val="left" w:pos="851"/>
                          </w:tabs>
                          <w:rPr>
                            <w:rFonts w:ascii="Arial" w:hAnsi="Arial" w:cs="Arial"/>
                            <w:sz w:val="22"/>
                            <w:szCs w:val="22"/>
                          </w:rPr>
                        </w:pPr>
                        <w:r w:rsidRPr="00AB555D">
                          <w:rPr>
                            <w:rFonts w:ascii="Arial" w:hAnsi="Arial" w:cs="Arial"/>
                            <w:sz w:val="22"/>
                            <w:szCs w:val="22"/>
                          </w:rPr>
                          <w:t>Start date – week 5</w:t>
                        </w:r>
                      </w:p>
                    </w:tc>
                    <w:tc>
                      <w:tcPr>
                        <w:tcW w:w="1258" w:type="dxa"/>
                        <w:shd w:val="clear" w:color="auto" w:fill="auto"/>
                      </w:tcPr>
                      <w:p w:rsidR="00DE6E49" w:rsidRPr="00AB555D" w:rsidRDefault="00DE6E49" w:rsidP="00822AB8">
                        <w:pPr>
                          <w:tabs>
                            <w:tab w:val="left" w:pos="851"/>
                          </w:tabs>
                          <w:rPr>
                            <w:rFonts w:ascii="Arial" w:hAnsi="Arial" w:cs="Arial"/>
                            <w:sz w:val="22"/>
                            <w:szCs w:val="22"/>
                          </w:rPr>
                        </w:pPr>
                        <w:r w:rsidRPr="00AB555D">
                          <w:rPr>
                            <w:rFonts w:ascii="Arial" w:hAnsi="Arial" w:cs="Arial"/>
                            <w:sz w:val="22"/>
                            <w:szCs w:val="22"/>
                          </w:rPr>
                          <w:t>Term 1</w:t>
                        </w:r>
                      </w:p>
                    </w:tc>
                    <w:tc>
                      <w:tcPr>
                        <w:tcW w:w="2552" w:type="dxa"/>
                        <w:shd w:val="clear" w:color="auto" w:fill="auto"/>
                      </w:tcPr>
                      <w:p w:rsidR="00DE6E49" w:rsidRPr="00AB555D" w:rsidRDefault="00DE6E49" w:rsidP="00822AB8">
                        <w:pPr>
                          <w:tabs>
                            <w:tab w:val="left" w:pos="851"/>
                          </w:tabs>
                          <w:jc w:val="center"/>
                          <w:rPr>
                            <w:rFonts w:ascii="Arial" w:hAnsi="Arial" w:cs="Arial"/>
                            <w:sz w:val="22"/>
                            <w:szCs w:val="22"/>
                          </w:rPr>
                        </w:pPr>
                        <w:r w:rsidRPr="00AB555D">
                          <w:rPr>
                            <w:rFonts w:ascii="Arial" w:hAnsi="Arial" w:cs="Arial"/>
                            <w:sz w:val="22"/>
                            <w:szCs w:val="22"/>
                          </w:rPr>
                          <w:t>0%</w:t>
                        </w:r>
                      </w:p>
                    </w:tc>
                  </w:tr>
                  <w:tr w:rsidR="00DE6E49" w:rsidRPr="00AB555D" w:rsidTr="00DE6E49">
                    <w:tc>
                      <w:tcPr>
                        <w:tcW w:w="1728" w:type="dxa"/>
                        <w:shd w:val="clear" w:color="auto" w:fill="auto"/>
                      </w:tcPr>
                      <w:p w:rsidR="00DE6E49" w:rsidRPr="00AB555D" w:rsidRDefault="00DE6E49" w:rsidP="00822AB8">
                        <w:pPr>
                          <w:tabs>
                            <w:tab w:val="left" w:pos="851"/>
                          </w:tabs>
                          <w:rPr>
                            <w:rFonts w:ascii="Arial" w:hAnsi="Arial" w:cs="Arial"/>
                            <w:sz w:val="22"/>
                            <w:szCs w:val="22"/>
                          </w:rPr>
                        </w:pPr>
                        <w:r w:rsidRPr="00AB555D">
                          <w:rPr>
                            <w:rFonts w:ascii="Arial" w:hAnsi="Arial" w:cs="Arial"/>
                            <w:sz w:val="22"/>
                            <w:szCs w:val="22"/>
                          </w:rPr>
                          <w:t>Week 6 to Week 13 (and through the Christmas break)</w:t>
                        </w:r>
                      </w:p>
                    </w:tc>
                    <w:tc>
                      <w:tcPr>
                        <w:tcW w:w="1258" w:type="dxa"/>
                        <w:shd w:val="clear" w:color="auto" w:fill="auto"/>
                      </w:tcPr>
                      <w:p w:rsidR="00DE6E49" w:rsidRPr="00AB555D" w:rsidRDefault="00DE6E49" w:rsidP="00822AB8">
                        <w:pPr>
                          <w:tabs>
                            <w:tab w:val="left" w:pos="851"/>
                          </w:tabs>
                          <w:rPr>
                            <w:rFonts w:ascii="Arial" w:hAnsi="Arial" w:cs="Arial"/>
                            <w:sz w:val="22"/>
                            <w:szCs w:val="22"/>
                          </w:rPr>
                        </w:pPr>
                        <w:r w:rsidRPr="00AB555D">
                          <w:rPr>
                            <w:rFonts w:ascii="Arial" w:hAnsi="Arial" w:cs="Arial"/>
                            <w:sz w:val="22"/>
                            <w:szCs w:val="22"/>
                          </w:rPr>
                          <w:t>Term 1</w:t>
                        </w:r>
                      </w:p>
                    </w:tc>
                    <w:tc>
                      <w:tcPr>
                        <w:tcW w:w="2552" w:type="dxa"/>
                        <w:shd w:val="clear" w:color="auto" w:fill="auto"/>
                      </w:tcPr>
                      <w:p w:rsidR="00DE6E49" w:rsidRPr="00AB555D" w:rsidRDefault="00DE6E49" w:rsidP="00822AB8">
                        <w:pPr>
                          <w:tabs>
                            <w:tab w:val="left" w:pos="851"/>
                          </w:tabs>
                          <w:jc w:val="center"/>
                          <w:rPr>
                            <w:rFonts w:ascii="Arial" w:hAnsi="Arial" w:cs="Arial"/>
                            <w:sz w:val="22"/>
                            <w:szCs w:val="22"/>
                          </w:rPr>
                        </w:pPr>
                        <w:r w:rsidRPr="00AB555D">
                          <w:rPr>
                            <w:rFonts w:ascii="Arial" w:hAnsi="Arial" w:cs="Arial"/>
                            <w:sz w:val="22"/>
                            <w:szCs w:val="22"/>
                          </w:rPr>
                          <w:t>25%</w:t>
                        </w:r>
                      </w:p>
                    </w:tc>
                  </w:tr>
                  <w:tr w:rsidR="00DE6E49" w:rsidRPr="00AB555D" w:rsidTr="00DE6E49">
                    <w:tc>
                      <w:tcPr>
                        <w:tcW w:w="1728" w:type="dxa"/>
                        <w:shd w:val="clear" w:color="auto" w:fill="auto"/>
                      </w:tcPr>
                      <w:p w:rsidR="00DE6E49" w:rsidRPr="00AB555D" w:rsidRDefault="00DE6E49" w:rsidP="00822AB8">
                        <w:pPr>
                          <w:tabs>
                            <w:tab w:val="left" w:pos="851"/>
                          </w:tabs>
                          <w:rPr>
                            <w:rFonts w:ascii="Arial" w:hAnsi="Arial" w:cs="Arial"/>
                            <w:sz w:val="22"/>
                            <w:szCs w:val="22"/>
                          </w:rPr>
                        </w:pPr>
                        <w:r w:rsidRPr="00AB555D">
                          <w:rPr>
                            <w:rFonts w:ascii="Arial" w:hAnsi="Arial" w:cs="Arial"/>
                            <w:sz w:val="22"/>
                            <w:szCs w:val="22"/>
                          </w:rPr>
                          <w:t>Week 14 to week 25 (and through the Easter break)</w:t>
                        </w:r>
                      </w:p>
                    </w:tc>
                    <w:tc>
                      <w:tcPr>
                        <w:tcW w:w="1258" w:type="dxa"/>
                        <w:shd w:val="clear" w:color="auto" w:fill="auto"/>
                      </w:tcPr>
                      <w:p w:rsidR="00DE6E49" w:rsidRPr="00AB555D" w:rsidRDefault="00DE6E49" w:rsidP="00822AB8">
                        <w:pPr>
                          <w:tabs>
                            <w:tab w:val="left" w:pos="851"/>
                          </w:tabs>
                          <w:rPr>
                            <w:rFonts w:ascii="Arial" w:hAnsi="Arial" w:cs="Arial"/>
                            <w:sz w:val="22"/>
                            <w:szCs w:val="22"/>
                          </w:rPr>
                        </w:pPr>
                        <w:r w:rsidRPr="00AB555D">
                          <w:rPr>
                            <w:rFonts w:ascii="Arial" w:hAnsi="Arial" w:cs="Arial"/>
                            <w:sz w:val="22"/>
                            <w:szCs w:val="22"/>
                          </w:rPr>
                          <w:t>Term 2</w:t>
                        </w:r>
                      </w:p>
                    </w:tc>
                    <w:tc>
                      <w:tcPr>
                        <w:tcW w:w="2552" w:type="dxa"/>
                        <w:shd w:val="clear" w:color="auto" w:fill="auto"/>
                      </w:tcPr>
                      <w:p w:rsidR="00DE6E49" w:rsidRPr="00AB555D" w:rsidRDefault="00DE6E49" w:rsidP="00822AB8">
                        <w:pPr>
                          <w:tabs>
                            <w:tab w:val="left" w:pos="851"/>
                          </w:tabs>
                          <w:jc w:val="center"/>
                          <w:rPr>
                            <w:rFonts w:ascii="Arial" w:hAnsi="Arial" w:cs="Arial"/>
                            <w:sz w:val="22"/>
                            <w:szCs w:val="22"/>
                          </w:rPr>
                        </w:pPr>
                        <w:r w:rsidRPr="00AB555D">
                          <w:rPr>
                            <w:rFonts w:ascii="Arial" w:hAnsi="Arial" w:cs="Arial"/>
                            <w:sz w:val="22"/>
                            <w:szCs w:val="22"/>
                          </w:rPr>
                          <w:t>50%</w:t>
                        </w:r>
                      </w:p>
                    </w:tc>
                  </w:tr>
                  <w:tr w:rsidR="00DE6E49" w:rsidRPr="00AB555D" w:rsidTr="00DE6E49">
                    <w:tc>
                      <w:tcPr>
                        <w:tcW w:w="1728" w:type="dxa"/>
                        <w:shd w:val="clear" w:color="auto" w:fill="auto"/>
                      </w:tcPr>
                      <w:p w:rsidR="00DE6E49" w:rsidRPr="00AB555D" w:rsidRDefault="00DE6E49" w:rsidP="00822AB8">
                        <w:pPr>
                          <w:tabs>
                            <w:tab w:val="left" w:pos="851"/>
                          </w:tabs>
                          <w:rPr>
                            <w:rFonts w:ascii="Arial" w:hAnsi="Arial" w:cs="Arial"/>
                            <w:sz w:val="22"/>
                            <w:szCs w:val="22"/>
                          </w:rPr>
                        </w:pPr>
                        <w:r w:rsidRPr="00AB555D">
                          <w:rPr>
                            <w:rFonts w:ascii="Arial" w:hAnsi="Arial" w:cs="Arial"/>
                            <w:sz w:val="22"/>
                            <w:szCs w:val="22"/>
                          </w:rPr>
                          <w:t>Week 26 onwards</w:t>
                        </w:r>
                      </w:p>
                    </w:tc>
                    <w:tc>
                      <w:tcPr>
                        <w:tcW w:w="1258" w:type="dxa"/>
                        <w:shd w:val="clear" w:color="auto" w:fill="auto"/>
                      </w:tcPr>
                      <w:p w:rsidR="00DE6E49" w:rsidRPr="00AB555D" w:rsidRDefault="00DE6E49" w:rsidP="00822AB8">
                        <w:pPr>
                          <w:tabs>
                            <w:tab w:val="left" w:pos="851"/>
                          </w:tabs>
                          <w:rPr>
                            <w:rFonts w:ascii="Arial" w:hAnsi="Arial" w:cs="Arial"/>
                            <w:sz w:val="22"/>
                            <w:szCs w:val="22"/>
                          </w:rPr>
                        </w:pPr>
                        <w:r w:rsidRPr="00AB555D">
                          <w:rPr>
                            <w:rFonts w:ascii="Arial" w:hAnsi="Arial" w:cs="Arial"/>
                            <w:sz w:val="22"/>
                            <w:szCs w:val="22"/>
                          </w:rPr>
                          <w:t>Term 3</w:t>
                        </w:r>
                      </w:p>
                    </w:tc>
                    <w:tc>
                      <w:tcPr>
                        <w:tcW w:w="2552" w:type="dxa"/>
                        <w:shd w:val="clear" w:color="auto" w:fill="auto"/>
                      </w:tcPr>
                      <w:p w:rsidR="00DE6E49" w:rsidRPr="00AB555D" w:rsidRDefault="00DE6E49" w:rsidP="00822AB8">
                        <w:pPr>
                          <w:tabs>
                            <w:tab w:val="left" w:pos="851"/>
                          </w:tabs>
                          <w:jc w:val="center"/>
                          <w:rPr>
                            <w:rFonts w:ascii="Arial" w:hAnsi="Arial" w:cs="Arial"/>
                            <w:sz w:val="22"/>
                            <w:szCs w:val="22"/>
                          </w:rPr>
                        </w:pPr>
                        <w:r w:rsidRPr="00AB555D">
                          <w:rPr>
                            <w:rFonts w:ascii="Arial" w:hAnsi="Arial" w:cs="Arial"/>
                            <w:sz w:val="22"/>
                            <w:szCs w:val="22"/>
                          </w:rPr>
                          <w:t>100%</w:t>
                        </w:r>
                      </w:p>
                    </w:tc>
                  </w:tr>
                </w:tbl>
                <w:p w:rsidR="00822AB8" w:rsidRPr="00AB555D" w:rsidRDefault="00822AB8" w:rsidP="00755385">
                  <w:pPr>
                    <w:rPr>
                      <w:rFonts w:ascii="Arial" w:hAnsi="Arial" w:cs="Arial"/>
                      <w:sz w:val="22"/>
                      <w:szCs w:val="22"/>
                    </w:rPr>
                  </w:pPr>
                </w:p>
              </w:tc>
              <w:tc>
                <w:tcPr>
                  <w:tcW w:w="2506" w:type="dxa"/>
                  <w:shd w:val="clear" w:color="auto" w:fill="auto"/>
                </w:tcPr>
                <w:p w:rsidR="00822AB8" w:rsidRPr="00AB555D" w:rsidRDefault="00822AB8" w:rsidP="00755385">
                  <w:pPr>
                    <w:jc w:val="right"/>
                    <w:rPr>
                      <w:rFonts w:ascii="Arial" w:hAnsi="Arial" w:cs="Arial"/>
                      <w:sz w:val="22"/>
                      <w:szCs w:val="22"/>
                    </w:rPr>
                  </w:pPr>
                </w:p>
                <w:p w:rsidR="00822AB8" w:rsidRPr="00AB555D" w:rsidRDefault="00822AB8" w:rsidP="00755385">
                  <w:pPr>
                    <w:rPr>
                      <w:rFonts w:ascii="Arial" w:hAnsi="Arial" w:cs="Arial"/>
                      <w:sz w:val="22"/>
                      <w:szCs w:val="22"/>
                    </w:rPr>
                  </w:pPr>
                </w:p>
                <w:p w:rsidR="00822AB8" w:rsidRPr="00AB555D" w:rsidRDefault="00822AB8" w:rsidP="00755385">
                  <w:pPr>
                    <w:rPr>
                      <w:rFonts w:ascii="Arial" w:hAnsi="Arial" w:cs="Arial"/>
                      <w:sz w:val="22"/>
                      <w:szCs w:val="22"/>
                    </w:rPr>
                  </w:pPr>
                </w:p>
                <w:p w:rsidR="00822AB8" w:rsidRPr="00AB555D" w:rsidRDefault="00822AB8" w:rsidP="00755385">
                  <w:pPr>
                    <w:rPr>
                      <w:rFonts w:ascii="Arial" w:hAnsi="Arial" w:cs="Arial"/>
                      <w:sz w:val="22"/>
                      <w:szCs w:val="22"/>
                    </w:rPr>
                  </w:pPr>
                </w:p>
                <w:p w:rsidR="00822AB8" w:rsidRPr="00AB555D" w:rsidRDefault="00822AB8" w:rsidP="00755385">
                  <w:pPr>
                    <w:rPr>
                      <w:rFonts w:ascii="Arial" w:hAnsi="Arial" w:cs="Arial"/>
                      <w:sz w:val="22"/>
                      <w:szCs w:val="22"/>
                    </w:rPr>
                  </w:pPr>
                </w:p>
                <w:p w:rsidR="00822AB8" w:rsidRPr="00AB555D" w:rsidRDefault="00822AB8" w:rsidP="00755385">
                  <w:pPr>
                    <w:rPr>
                      <w:rFonts w:ascii="Arial" w:hAnsi="Arial" w:cs="Arial"/>
                      <w:sz w:val="22"/>
                      <w:szCs w:val="22"/>
                    </w:rPr>
                  </w:pPr>
                </w:p>
              </w:tc>
            </w:tr>
          </w:tbl>
          <w:p w:rsidR="00822AB8" w:rsidRPr="00AB555D" w:rsidRDefault="00822AB8" w:rsidP="00755385">
            <w:pPr>
              <w:rPr>
                <w:rFonts w:ascii="Arial" w:hAnsi="Arial" w:cs="Arial"/>
                <w:sz w:val="22"/>
                <w:szCs w:val="22"/>
              </w:rPr>
            </w:pPr>
          </w:p>
        </w:tc>
      </w:tr>
    </w:tbl>
    <w:p w:rsidR="00822AB8" w:rsidRDefault="00822AB8" w:rsidP="00822AB8">
      <w:pPr>
        <w:pStyle w:val="ListParagraph"/>
        <w:ind w:left="713"/>
        <w:rPr>
          <w:rFonts w:ascii="Arial" w:hAnsi="Arial" w:cs="Arial"/>
        </w:rPr>
      </w:pPr>
    </w:p>
    <w:p w:rsidR="00FF6151" w:rsidRDefault="00FF6151" w:rsidP="00822AB8">
      <w:pPr>
        <w:pStyle w:val="ListParagraph"/>
        <w:ind w:left="713"/>
        <w:rPr>
          <w:rFonts w:ascii="Arial" w:hAnsi="Arial" w:cs="Arial"/>
        </w:rPr>
      </w:pPr>
    </w:p>
    <w:p w:rsidR="00732525" w:rsidRPr="00AB555D" w:rsidRDefault="00732525" w:rsidP="00732525">
      <w:pPr>
        <w:pStyle w:val="ListParagraph"/>
        <w:ind w:left="713"/>
        <w:rPr>
          <w:rFonts w:ascii="Arial" w:hAnsi="Arial" w:cs="Arial"/>
        </w:rPr>
      </w:pPr>
    </w:p>
    <w:p w:rsidR="00732525" w:rsidRPr="009C7796" w:rsidRDefault="00732525" w:rsidP="00732525">
      <w:pPr>
        <w:pStyle w:val="ListParagraph"/>
        <w:numPr>
          <w:ilvl w:val="0"/>
          <w:numId w:val="11"/>
        </w:numPr>
        <w:rPr>
          <w:rFonts w:ascii="Arial" w:hAnsi="Arial" w:cs="Arial"/>
          <w:b/>
        </w:rPr>
      </w:pPr>
      <w:r w:rsidRPr="009C7796">
        <w:rPr>
          <w:rFonts w:ascii="Arial" w:hAnsi="Arial" w:cs="Arial"/>
          <w:b/>
        </w:rPr>
        <w:t>Full Cost</w:t>
      </w:r>
      <w:r w:rsidR="00C44C10" w:rsidRPr="009C7796">
        <w:rPr>
          <w:rFonts w:ascii="Arial" w:hAnsi="Arial" w:cs="Arial"/>
          <w:b/>
        </w:rPr>
        <w:t>/Commercial</w:t>
      </w:r>
      <w:r w:rsidRPr="009C7796">
        <w:rPr>
          <w:rFonts w:ascii="Arial" w:hAnsi="Arial" w:cs="Arial"/>
          <w:b/>
        </w:rPr>
        <w:t xml:space="preserve"> Programmes</w:t>
      </w:r>
    </w:p>
    <w:p w:rsidR="009C7796" w:rsidRPr="00AB555D" w:rsidRDefault="009C7796" w:rsidP="009C7796">
      <w:pPr>
        <w:pStyle w:val="ListParagraph"/>
        <w:ind w:left="218"/>
        <w:rPr>
          <w:rFonts w:ascii="Arial" w:hAnsi="Arial" w:cs="Arial"/>
        </w:rPr>
      </w:pPr>
    </w:p>
    <w:p w:rsidR="00732525" w:rsidRPr="00AB555D" w:rsidRDefault="00732525" w:rsidP="00BC3249">
      <w:pPr>
        <w:pStyle w:val="ListParagraph"/>
        <w:numPr>
          <w:ilvl w:val="1"/>
          <w:numId w:val="11"/>
        </w:numPr>
        <w:rPr>
          <w:rFonts w:ascii="Arial" w:hAnsi="Arial" w:cs="Arial"/>
        </w:rPr>
      </w:pPr>
      <w:r w:rsidRPr="00AB555D">
        <w:rPr>
          <w:rFonts w:ascii="Arial" w:hAnsi="Arial" w:cs="Arial"/>
        </w:rPr>
        <w:t>Fees for commercial courses will be priced at a level to reflect the full price to the College and set at a level the market will bear.  The underlying principle is that all programmes should cover their direct costs as a minimum and make a contribution towards overheads.</w:t>
      </w:r>
    </w:p>
    <w:p w:rsidR="00703CFC" w:rsidRPr="00AB555D" w:rsidRDefault="00703CFC" w:rsidP="00703CFC">
      <w:pPr>
        <w:pStyle w:val="ListParagraph"/>
        <w:ind w:left="713"/>
        <w:rPr>
          <w:rFonts w:ascii="Arial" w:hAnsi="Arial" w:cs="Arial"/>
        </w:rPr>
      </w:pPr>
    </w:p>
    <w:p w:rsidR="00822AB8" w:rsidRPr="00AB555D" w:rsidRDefault="00822AB8" w:rsidP="00822AB8">
      <w:pPr>
        <w:pStyle w:val="ListParagraph"/>
        <w:ind w:left="713"/>
        <w:rPr>
          <w:rFonts w:ascii="Arial" w:hAnsi="Arial" w:cs="Arial"/>
        </w:rPr>
      </w:pPr>
    </w:p>
    <w:p w:rsidR="00822AB8" w:rsidRPr="009C7796" w:rsidRDefault="0000219B" w:rsidP="00822AB8">
      <w:pPr>
        <w:pStyle w:val="ListParagraph"/>
        <w:numPr>
          <w:ilvl w:val="0"/>
          <w:numId w:val="11"/>
        </w:numPr>
        <w:rPr>
          <w:rFonts w:ascii="Arial" w:hAnsi="Arial" w:cs="Arial"/>
          <w:b/>
        </w:rPr>
      </w:pPr>
      <w:r w:rsidRPr="009C7796">
        <w:rPr>
          <w:rFonts w:ascii="Arial" w:hAnsi="Arial" w:cs="Arial"/>
          <w:b/>
        </w:rPr>
        <w:t>Payment of Fees</w:t>
      </w:r>
    </w:p>
    <w:p w:rsidR="009C7796" w:rsidRPr="00AB555D" w:rsidRDefault="009C7796" w:rsidP="009C7796">
      <w:pPr>
        <w:pStyle w:val="ListParagraph"/>
        <w:ind w:left="218"/>
        <w:rPr>
          <w:rFonts w:ascii="Arial" w:hAnsi="Arial" w:cs="Arial"/>
        </w:rPr>
      </w:pPr>
    </w:p>
    <w:p w:rsidR="00822AB8" w:rsidRPr="00AB555D" w:rsidRDefault="0000219B" w:rsidP="00822AB8">
      <w:pPr>
        <w:pStyle w:val="ListParagraph"/>
        <w:numPr>
          <w:ilvl w:val="1"/>
          <w:numId w:val="11"/>
        </w:numPr>
        <w:rPr>
          <w:rFonts w:ascii="Arial" w:hAnsi="Arial" w:cs="Arial"/>
        </w:rPr>
      </w:pPr>
      <w:r>
        <w:rPr>
          <w:rFonts w:ascii="Arial" w:hAnsi="Arial" w:cs="Arial"/>
        </w:rPr>
        <w:t xml:space="preserve">In general all fees are payable in full at the point of enrolment, however, the College offers a payment instalment plan provided the fee is in excess of £100.  </w:t>
      </w:r>
      <w:r w:rsidR="00822AB8" w:rsidRPr="00AB555D">
        <w:rPr>
          <w:rFonts w:ascii="Arial" w:hAnsi="Arial" w:cs="Arial"/>
        </w:rPr>
        <w:t>Payments will be accepted in cash,</w:t>
      </w:r>
      <w:r>
        <w:rPr>
          <w:rFonts w:ascii="Arial" w:hAnsi="Arial" w:cs="Arial"/>
        </w:rPr>
        <w:t xml:space="preserve"> cheque, credit and debit card.</w:t>
      </w:r>
      <w:r w:rsidR="00A176EF">
        <w:rPr>
          <w:rFonts w:ascii="Arial" w:hAnsi="Arial" w:cs="Arial"/>
        </w:rPr>
        <w:t xml:space="preserve">  Students whose employers have agreed to pay their fees must produce a letter from their employer, at the time of enrolment, confirming that the employer will cover the full costs of the course.</w:t>
      </w:r>
    </w:p>
    <w:p w:rsidR="00703CFC" w:rsidRPr="00AB555D" w:rsidRDefault="00703CFC" w:rsidP="00703CFC">
      <w:pPr>
        <w:pStyle w:val="ListParagraph"/>
        <w:ind w:left="713"/>
        <w:rPr>
          <w:rFonts w:ascii="Arial" w:hAnsi="Arial" w:cs="Arial"/>
        </w:rPr>
      </w:pPr>
    </w:p>
    <w:p w:rsidR="00703CFC" w:rsidRPr="00AB555D" w:rsidRDefault="00703CFC" w:rsidP="00703CFC">
      <w:pPr>
        <w:pStyle w:val="ListParagraph"/>
        <w:ind w:left="713"/>
        <w:rPr>
          <w:rFonts w:ascii="Arial" w:hAnsi="Arial" w:cs="Arial"/>
        </w:rPr>
      </w:pPr>
    </w:p>
    <w:p w:rsidR="002C40E0" w:rsidRPr="00AB555D" w:rsidRDefault="002C40E0" w:rsidP="002C40E0">
      <w:pPr>
        <w:pStyle w:val="ListParagraph"/>
        <w:ind w:left="713"/>
        <w:rPr>
          <w:rFonts w:ascii="Arial" w:hAnsi="Arial" w:cs="Arial"/>
        </w:rPr>
      </w:pPr>
    </w:p>
    <w:p w:rsidR="002C40E0" w:rsidRPr="009C7796" w:rsidRDefault="002341B9" w:rsidP="002C40E0">
      <w:pPr>
        <w:pStyle w:val="ListParagraph"/>
        <w:numPr>
          <w:ilvl w:val="0"/>
          <w:numId w:val="11"/>
        </w:numPr>
        <w:rPr>
          <w:rFonts w:ascii="Arial" w:hAnsi="Arial" w:cs="Arial"/>
          <w:b/>
        </w:rPr>
      </w:pPr>
      <w:r w:rsidRPr="009C7796">
        <w:rPr>
          <w:rFonts w:ascii="Arial" w:hAnsi="Arial" w:cs="Arial"/>
          <w:b/>
        </w:rPr>
        <w:t xml:space="preserve">Fee </w:t>
      </w:r>
      <w:r w:rsidR="002C40E0" w:rsidRPr="009C7796">
        <w:rPr>
          <w:rFonts w:ascii="Arial" w:hAnsi="Arial" w:cs="Arial"/>
          <w:b/>
        </w:rPr>
        <w:t>Refunds</w:t>
      </w:r>
      <w:r w:rsidRPr="009C7796">
        <w:rPr>
          <w:rFonts w:ascii="Arial" w:hAnsi="Arial" w:cs="Arial"/>
          <w:b/>
        </w:rPr>
        <w:t>/Withdrawals</w:t>
      </w:r>
    </w:p>
    <w:p w:rsidR="009C7796" w:rsidRPr="00AB555D" w:rsidRDefault="009C7796" w:rsidP="009C7796">
      <w:pPr>
        <w:pStyle w:val="ListParagraph"/>
        <w:ind w:left="218"/>
        <w:rPr>
          <w:rFonts w:ascii="Arial" w:hAnsi="Arial" w:cs="Arial"/>
        </w:rPr>
      </w:pPr>
    </w:p>
    <w:p w:rsidR="002341B9" w:rsidRDefault="002341B9" w:rsidP="009B724F">
      <w:pPr>
        <w:pStyle w:val="ListParagraph"/>
        <w:numPr>
          <w:ilvl w:val="1"/>
          <w:numId w:val="11"/>
        </w:numPr>
        <w:rPr>
          <w:rFonts w:ascii="Arial" w:hAnsi="Arial" w:cs="Arial"/>
        </w:rPr>
      </w:pPr>
      <w:r>
        <w:rPr>
          <w:rFonts w:ascii="Arial" w:hAnsi="Arial" w:cs="Arial"/>
        </w:rPr>
        <w:t>The College will refund all fees that have been paid, in full, where a course has been ca</w:t>
      </w:r>
      <w:r w:rsidR="001F450E">
        <w:rPr>
          <w:rFonts w:ascii="Arial" w:hAnsi="Arial" w:cs="Arial"/>
        </w:rPr>
        <w:t>ncelled by the College or if</w:t>
      </w:r>
      <w:r>
        <w:rPr>
          <w:rFonts w:ascii="Arial" w:hAnsi="Arial" w:cs="Arial"/>
        </w:rPr>
        <w:t xml:space="preserve"> a student decides not to take up a place</w:t>
      </w:r>
    </w:p>
    <w:p w:rsidR="002341B9" w:rsidRPr="002341B9" w:rsidRDefault="002341B9" w:rsidP="002341B9">
      <w:pPr>
        <w:ind w:left="218"/>
        <w:rPr>
          <w:rFonts w:ascii="Arial" w:hAnsi="Arial" w:cs="Arial"/>
        </w:rPr>
      </w:pPr>
    </w:p>
    <w:p w:rsidR="002C40E0" w:rsidRDefault="002C40E0" w:rsidP="009B724F">
      <w:pPr>
        <w:pStyle w:val="ListParagraph"/>
        <w:numPr>
          <w:ilvl w:val="1"/>
          <w:numId w:val="11"/>
        </w:numPr>
        <w:rPr>
          <w:rFonts w:ascii="Arial" w:hAnsi="Arial" w:cs="Arial"/>
        </w:rPr>
      </w:pPr>
      <w:r w:rsidRPr="00AB555D">
        <w:rPr>
          <w:rFonts w:ascii="Arial" w:hAnsi="Arial" w:cs="Arial"/>
        </w:rPr>
        <w:t>A</w:t>
      </w:r>
      <w:r w:rsidR="001F450E">
        <w:rPr>
          <w:rFonts w:ascii="Arial" w:hAnsi="Arial" w:cs="Arial"/>
        </w:rPr>
        <w:t xml:space="preserve"> student</w:t>
      </w:r>
      <w:r w:rsidRPr="00AB555D">
        <w:rPr>
          <w:rFonts w:ascii="Arial" w:hAnsi="Arial" w:cs="Arial"/>
        </w:rPr>
        <w:t xml:space="preserve"> withdrawing from a</w:t>
      </w:r>
      <w:r w:rsidR="00DE6E49">
        <w:rPr>
          <w:rFonts w:ascii="Arial" w:hAnsi="Arial" w:cs="Arial"/>
        </w:rPr>
        <w:t xml:space="preserve">n ESFA funded course which is planned to last a full academic year </w:t>
      </w:r>
      <w:r w:rsidRPr="00AB555D">
        <w:rPr>
          <w:rFonts w:ascii="Arial" w:hAnsi="Arial" w:cs="Arial"/>
        </w:rPr>
        <w:t xml:space="preserve">will be eligible for a </w:t>
      </w:r>
      <w:r w:rsidR="00DE6E49">
        <w:rPr>
          <w:rFonts w:ascii="Arial" w:hAnsi="Arial" w:cs="Arial"/>
        </w:rPr>
        <w:t xml:space="preserve">refund of fees in accordance with table 5.2 above.  Students enrolled to courses of a shorter duration will be eligible for a pro-rata refund </w:t>
      </w:r>
      <w:r w:rsidR="00DE6E49">
        <w:rPr>
          <w:rFonts w:ascii="Arial" w:hAnsi="Arial" w:cs="Arial"/>
        </w:rPr>
        <w:lastRenderedPageBreak/>
        <w:t>provided they have attended less than 50% of the course duration. For</w:t>
      </w:r>
      <w:r w:rsidRPr="00AB555D">
        <w:rPr>
          <w:rFonts w:ascii="Arial" w:hAnsi="Arial" w:cs="Arial"/>
        </w:rPr>
        <w:t xml:space="preserve"> full cost</w:t>
      </w:r>
      <w:r w:rsidR="002341B9">
        <w:rPr>
          <w:rFonts w:ascii="Arial" w:hAnsi="Arial" w:cs="Arial"/>
        </w:rPr>
        <w:t>/commercial</w:t>
      </w:r>
      <w:r w:rsidRPr="00AB555D">
        <w:rPr>
          <w:rFonts w:ascii="Arial" w:hAnsi="Arial" w:cs="Arial"/>
        </w:rPr>
        <w:t xml:space="preserve"> courses, no refund of fees w</w:t>
      </w:r>
      <w:r w:rsidR="001F450E">
        <w:rPr>
          <w:rFonts w:ascii="Arial" w:hAnsi="Arial" w:cs="Arial"/>
        </w:rPr>
        <w:t xml:space="preserve">ill be provided where a student </w:t>
      </w:r>
      <w:r w:rsidRPr="00AB555D">
        <w:rPr>
          <w:rFonts w:ascii="Arial" w:hAnsi="Arial" w:cs="Arial"/>
        </w:rPr>
        <w:t xml:space="preserve">starts then leaves the course. </w:t>
      </w:r>
    </w:p>
    <w:p w:rsidR="009B724F" w:rsidRDefault="009B724F" w:rsidP="009B724F">
      <w:pPr>
        <w:pStyle w:val="ListParagraph"/>
        <w:ind w:left="713"/>
        <w:rPr>
          <w:rFonts w:ascii="Arial" w:hAnsi="Arial" w:cs="Arial"/>
        </w:rPr>
      </w:pPr>
    </w:p>
    <w:p w:rsidR="009B724F" w:rsidRDefault="009B724F" w:rsidP="009B724F">
      <w:pPr>
        <w:pStyle w:val="ListParagraph"/>
        <w:numPr>
          <w:ilvl w:val="1"/>
          <w:numId w:val="11"/>
        </w:numPr>
        <w:rPr>
          <w:rFonts w:ascii="Arial" w:hAnsi="Arial" w:cs="Arial"/>
        </w:rPr>
      </w:pPr>
      <w:r>
        <w:rPr>
          <w:rFonts w:ascii="Arial" w:hAnsi="Arial" w:cs="Arial"/>
        </w:rPr>
        <w:t>In exceptional circumstances a fee refund w</w:t>
      </w:r>
      <w:r w:rsidR="001F450E">
        <w:rPr>
          <w:rFonts w:ascii="Arial" w:hAnsi="Arial" w:cs="Arial"/>
        </w:rPr>
        <w:t xml:space="preserve">ill </w:t>
      </w:r>
      <w:r w:rsidR="00DE6E49">
        <w:rPr>
          <w:rFonts w:ascii="Arial" w:hAnsi="Arial" w:cs="Arial"/>
        </w:rPr>
        <w:t xml:space="preserve">also </w:t>
      </w:r>
      <w:r w:rsidR="001F450E">
        <w:rPr>
          <w:rFonts w:ascii="Arial" w:hAnsi="Arial" w:cs="Arial"/>
        </w:rPr>
        <w:t>be considered where students</w:t>
      </w:r>
      <w:r>
        <w:rPr>
          <w:rFonts w:ascii="Arial" w:hAnsi="Arial" w:cs="Arial"/>
        </w:rPr>
        <w:t xml:space="preserve"> have </w:t>
      </w:r>
      <w:r w:rsidR="00DE6E49">
        <w:rPr>
          <w:rFonts w:ascii="Arial" w:hAnsi="Arial" w:cs="Arial"/>
        </w:rPr>
        <w:t xml:space="preserve">had to withdraw due to reasons outside of their control.  </w:t>
      </w:r>
      <w:r>
        <w:rPr>
          <w:rFonts w:ascii="Arial" w:hAnsi="Arial" w:cs="Arial"/>
        </w:rPr>
        <w:t>All requests must be submitted in writing to the Funding &amp; Data Manager or Financial Controller</w:t>
      </w:r>
      <w:r w:rsidR="002341B9">
        <w:rPr>
          <w:rFonts w:ascii="Arial" w:hAnsi="Arial" w:cs="Arial"/>
        </w:rPr>
        <w:t xml:space="preserve"> within 1 month of </w:t>
      </w:r>
      <w:r w:rsidR="001F450E">
        <w:rPr>
          <w:rFonts w:ascii="Arial" w:hAnsi="Arial" w:cs="Arial"/>
        </w:rPr>
        <w:t xml:space="preserve">their </w:t>
      </w:r>
      <w:r w:rsidR="002341B9">
        <w:rPr>
          <w:rFonts w:ascii="Arial" w:hAnsi="Arial" w:cs="Arial"/>
        </w:rPr>
        <w:t>last attendance on the course</w:t>
      </w:r>
      <w:r>
        <w:rPr>
          <w:rFonts w:ascii="Arial" w:hAnsi="Arial" w:cs="Arial"/>
        </w:rPr>
        <w:t xml:space="preserve"> and must include certified medical evidenc</w:t>
      </w:r>
      <w:r w:rsidR="002341B9">
        <w:rPr>
          <w:rFonts w:ascii="Arial" w:hAnsi="Arial" w:cs="Arial"/>
        </w:rPr>
        <w:t xml:space="preserve">e or other documentary evidence.  </w:t>
      </w:r>
    </w:p>
    <w:p w:rsidR="002341B9" w:rsidRPr="002341B9" w:rsidRDefault="002341B9" w:rsidP="002341B9">
      <w:pPr>
        <w:pStyle w:val="ListParagraph"/>
        <w:rPr>
          <w:rFonts w:ascii="Arial" w:hAnsi="Arial" w:cs="Arial"/>
        </w:rPr>
      </w:pPr>
    </w:p>
    <w:p w:rsidR="002341B9" w:rsidRDefault="002341B9" w:rsidP="009B724F">
      <w:pPr>
        <w:pStyle w:val="ListParagraph"/>
        <w:numPr>
          <w:ilvl w:val="1"/>
          <w:numId w:val="11"/>
        </w:numPr>
        <w:rPr>
          <w:rFonts w:ascii="Arial" w:hAnsi="Arial" w:cs="Arial"/>
        </w:rPr>
      </w:pPr>
      <w:r>
        <w:rPr>
          <w:rFonts w:ascii="Arial" w:hAnsi="Arial" w:cs="Arial"/>
        </w:rPr>
        <w:t>Appeals against refund decisions may be made t</w:t>
      </w:r>
      <w:r w:rsidR="003008A2">
        <w:rPr>
          <w:rFonts w:ascii="Arial" w:hAnsi="Arial" w:cs="Arial"/>
        </w:rPr>
        <w:t>o the D</w:t>
      </w:r>
      <w:r w:rsidR="00DE6E49">
        <w:rPr>
          <w:rFonts w:ascii="Arial" w:hAnsi="Arial" w:cs="Arial"/>
        </w:rPr>
        <w:t xml:space="preserve">irector of Business Development </w:t>
      </w:r>
      <w:r w:rsidR="003008A2">
        <w:rPr>
          <w:rFonts w:ascii="Arial" w:hAnsi="Arial" w:cs="Arial"/>
        </w:rPr>
        <w:t>within 1 month of the original decision.</w:t>
      </w:r>
    </w:p>
    <w:p w:rsidR="009B724F" w:rsidRPr="009B724F" w:rsidRDefault="009B724F" w:rsidP="009B724F">
      <w:pPr>
        <w:ind w:left="218"/>
        <w:rPr>
          <w:rFonts w:ascii="Arial" w:hAnsi="Arial" w:cs="Arial"/>
        </w:rPr>
      </w:pPr>
    </w:p>
    <w:p w:rsidR="00703CFC" w:rsidRPr="00AB555D" w:rsidRDefault="00703CFC" w:rsidP="00703CFC">
      <w:pPr>
        <w:pStyle w:val="ListParagraph"/>
        <w:ind w:left="713"/>
        <w:rPr>
          <w:rFonts w:ascii="Arial" w:hAnsi="Arial" w:cs="Arial"/>
        </w:rPr>
      </w:pPr>
    </w:p>
    <w:p w:rsidR="00703CFC" w:rsidRPr="00AB555D" w:rsidRDefault="00703CFC" w:rsidP="00703CFC">
      <w:pPr>
        <w:pStyle w:val="ListParagraph"/>
        <w:ind w:left="713"/>
        <w:rPr>
          <w:rFonts w:ascii="Arial" w:hAnsi="Arial" w:cs="Arial"/>
        </w:rPr>
      </w:pPr>
    </w:p>
    <w:p w:rsidR="00822AB8" w:rsidRPr="00AB555D" w:rsidRDefault="00822AB8" w:rsidP="00822AB8">
      <w:pPr>
        <w:rPr>
          <w:rFonts w:ascii="Arial" w:hAnsi="Arial" w:cs="Arial"/>
          <w:sz w:val="22"/>
          <w:szCs w:val="22"/>
        </w:rPr>
      </w:pPr>
    </w:p>
    <w:p w:rsidR="00822AB8" w:rsidRPr="00AB555D" w:rsidRDefault="00822AB8" w:rsidP="00822AB8">
      <w:pPr>
        <w:rPr>
          <w:rFonts w:ascii="Arial" w:hAnsi="Arial" w:cs="Arial"/>
          <w:sz w:val="22"/>
          <w:szCs w:val="22"/>
        </w:rPr>
      </w:pPr>
    </w:p>
    <w:p w:rsidR="00822AB8" w:rsidRPr="00AB555D" w:rsidRDefault="00822AB8" w:rsidP="00822AB8">
      <w:pPr>
        <w:rPr>
          <w:rFonts w:ascii="Arial" w:hAnsi="Arial" w:cs="Arial"/>
          <w:sz w:val="22"/>
          <w:szCs w:val="22"/>
        </w:rPr>
      </w:pPr>
    </w:p>
    <w:p w:rsidR="00822AB8" w:rsidRPr="00AB555D" w:rsidRDefault="00822AB8" w:rsidP="00822AB8">
      <w:pPr>
        <w:rPr>
          <w:rFonts w:ascii="Arial" w:hAnsi="Arial" w:cs="Arial"/>
          <w:sz w:val="22"/>
          <w:szCs w:val="22"/>
        </w:rPr>
      </w:pPr>
    </w:p>
    <w:p w:rsidR="00822AB8" w:rsidRPr="00AB555D" w:rsidRDefault="00822AB8" w:rsidP="00822AB8">
      <w:pPr>
        <w:rPr>
          <w:rFonts w:ascii="Arial" w:hAnsi="Arial" w:cs="Arial"/>
          <w:sz w:val="22"/>
          <w:szCs w:val="22"/>
        </w:rPr>
      </w:pPr>
    </w:p>
    <w:p w:rsidR="00822AB8" w:rsidRPr="00AB555D" w:rsidRDefault="00822AB8" w:rsidP="00822AB8">
      <w:pPr>
        <w:rPr>
          <w:rFonts w:ascii="Arial" w:hAnsi="Arial" w:cs="Arial"/>
          <w:sz w:val="22"/>
          <w:szCs w:val="22"/>
        </w:rPr>
      </w:pPr>
    </w:p>
    <w:p w:rsidR="00822AB8" w:rsidRPr="00AB555D" w:rsidRDefault="00822AB8" w:rsidP="00822AB8">
      <w:pPr>
        <w:rPr>
          <w:rFonts w:ascii="Arial" w:hAnsi="Arial" w:cs="Arial"/>
          <w:sz w:val="22"/>
          <w:szCs w:val="22"/>
        </w:rPr>
      </w:pPr>
    </w:p>
    <w:p w:rsidR="00822AB8" w:rsidRPr="00AB555D" w:rsidRDefault="00822AB8" w:rsidP="00822AB8">
      <w:pPr>
        <w:rPr>
          <w:rFonts w:ascii="Arial" w:hAnsi="Arial" w:cs="Arial"/>
          <w:sz w:val="22"/>
          <w:szCs w:val="22"/>
        </w:rPr>
      </w:pPr>
    </w:p>
    <w:p w:rsidR="00822AB8" w:rsidRDefault="00822AB8"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Default="00F52986" w:rsidP="00822AB8">
      <w:pPr>
        <w:rPr>
          <w:rFonts w:ascii="Arial" w:hAnsi="Arial" w:cs="Arial"/>
          <w:sz w:val="22"/>
          <w:szCs w:val="22"/>
        </w:rPr>
      </w:pPr>
    </w:p>
    <w:p w:rsidR="00F52986" w:rsidRPr="00AB555D" w:rsidRDefault="00F52986" w:rsidP="00822AB8">
      <w:pPr>
        <w:rPr>
          <w:rFonts w:ascii="Arial" w:hAnsi="Arial" w:cs="Arial"/>
          <w:sz w:val="22"/>
          <w:szCs w:val="22"/>
        </w:rPr>
      </w:pPr>
    </w:p>
    <w:p w:rsidR="00BC3249" w:rsidRPr="00AB555D" w:rsidRDefault="007A5F64" w:rsidP="00BC3249">
      <w:pPr>
        <w:rPr>
          <w:rFonts w:ascii="Arial" w:hAnsi="Arial" w:cs="Arial"/>
          <w:b/>
          <w:sz w:val="22"/>
          <w:szCs w:val="22"/>
        </w:rPr>
      </w:pPr>
      <w:r>
        <w:rPr>
          <w:noProof/>
          <w:lang w:val="en-US" w:eastAsia="en-US"/>
        </w:rPr>
        <w:drawing>
          <wp:anchor distT="0" distB="0" distL="114300" distR="114300" simplePos="0" relativeHeight="251660288" behindDoc="1" locked="0" layoutInCell="1" allowOverlap="1" wp14:anchorId="3DC22CEA" wp14:editId="5D41E892">
            <wp:simplePos x="0" y="0"/>
            <wp:positionH relativeFrom="page">
              <wp:align>right</wp:align>
            </wp:positionH>
            <wp:positionV relativeFrom="paragraph">
              <wp:posOffset>191135</wp:posOffset>
            </wp:positionV>
            <wp:extent cx="6816725" cy="1918970"/>
            <wp:effectExtent l="0" t="0" r="3175" b="5080"/>
            <wp:wrapNone/>
            <wp:docPr id="1" name="Picture 1" descr="letterhead-header B&amp;W-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header B&amp;W-for-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6725" cy="191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249" w:rsidRPr="00AB555D" w:rsidRDefault="00BC3249" w:rsidP="00BC3249">
      <w:pPr>
        <w:rPr>
          <w:rFonts w:ascii="Arial" w:hAnsi="Arial" w:cs="Arial"/>
          <w:b/>
          <w:vanish/>
          <w:sz w:val="22"/>
          <w:szCs w:val="22"/>
          <w:specVanish/>
        </w:rPr>
      </w:pPr>
    </w:p>
    <w:p w:rsidR="00732525" w:rsidRDefault="00DA68F0" w:rsidP="00732525">
      <w:pPr>
        <w:rPr>
          <w:rFonts w:ascii="Arial" w:hAnsi="Arial" w:cs="Arial"/>
          <w:b/>
          <w:sz w:val="22"/>
          <w:szCs w:val="22"/>
        </w:rPr>
      </w:pPr>
      <w:r w:rsidRPr="00AB555D">
        <w:rPr>
          <w:rFonts w:ascii="Arial" w:hAnsi="Arial" w:cs="Arial"/>
          <w:b/>
          <w:sz w:val="22"/>
          <w:szCs w:val="22"/>
        </w:rPr>
        <w:t xml:space="preserve"> </w:t>
      </w:r>
    </w:p>
    <w:p w:rsidR="007A5F64" w:rsidRDefault="007A5F64" w:rsidP="00732525">
      <w:pPr>
        <w:rPr>
          <w:rFonts w:ascii="Arial" w:hAnsi="Arial" w:cs="Arial"/>
          <w:b/>
          <w:sz w:val="22"/>
          <w:szCs w:val="22"/>
        </w:rPr>
      </w:pPr>
    </w:p>
    <w:p w:rsidR="007A5F64" w:rsidRDefault="007A5F64" w:rsidP="00732525">
      <w:pPr>
        <w:rPr>
          <w:rFonts w:ascii="Arial" w:hAnsi="Arial" w:cs="Arial"/>
          <w:b/>
          <w:sz w:val="22"/>
          <w:szCs w:val="22"/>
        </w:rPr>
      </w:pPr>
    </w:p>
    <w:p w:rsidR="007A5F64" w:rsidRDefault="007A5F64" w:rsidP="00732525">
      <w:pPr>
        <w:rPr>
          <w:rFonts w:ascii="Arial" w:hAnsi="Arial" w:cs="Arial"/>
          <w:b/>
          <w:sz w:val="22"/>
          <w:szCs w:val="22"/>
        </w:rPr>
      </w:pPr>
    </w:p>
    <w:p w:rsidR="007A5F64" w:rsidRDefault="007A5F64" w:rsidP="00732525">
      <w:pPr>
        <w:rPr>
          <w:rFonts w:ascii="Arial" w:hAnsi="Arial" w:cs="Arial"/>
          <w:b/>
          <w:sz w:val="22"/>
          <w:szCs w:val="22"/>
        </w:rPr>
      </w:pPr>
    </w:p>
    <w:p w:rsidR="007A5F64" w:rsidRDefault="007A5F64" w:rsidP="00732525">
      <w:pPr>
        <w:rPr>
          <w:rFonts w:ascii="Arial" w:hAnsi="Arial" w:cs="Arial"/>
          <w:b/>
          <w:sz w:val="22"/>
          <w:szCs w:val="22"/>
        </w:rPr>
      </w:pPr>
    </w:p>
    <w:p w:rsidR="007A5F64" w:rsidRDefault="007A5F64" w:rsidP="00732525">
      <w:pPr>
        <w:rPr>
          <w:rFonts w:ascii="Arial" w:hAnsi="Arial" w:cs="Arial"/>
          <w:b/>
          <w:sz w:val="22"/>
          <w:szCs w:val="22"/>
        </w:rPr>
      </w:pPr>
    </w:p>
    <w:p w:rsidR="007A5F64" w:rsidRDefault="007A5F64" w:rsidP="00732525">
      <w:pPr>
        <w:rPr>
          <w:rFonts w:ascii="Arial" w:hAnsi="Arial" w:cs="Arial"/>
          <w:b/>
          <w:sz w:val="22"/>
          <w:szCs w:val="22"/>
        </w:rPr>
      </w:pPr>
    </w:p>
    <w:p w:rsidR="007A5F64" w:rsidRDefault="007A5F64" w:rsidP="00732525">
      <w:pPr>
        <w:rPr>
          <w:rFonts w:ascii="Arial" w:hAnsi="Arial" w:cs="Arial"/>
          <w:b/>
          <w:sz w:val="22"/>
          <w:szCs w:val="22"/>
        </w:rPr>
      </w:pPr>
    </w:p>
    <w:p w:rsidR="007A5F64" w:rsidRDefault="007A5F64" w:rsidP="00732525">
      <w:pPr>
        <w:rPr>
          <w:rFonts w:ascii="Arial" w:hAnsi="Arial" w:cs="Arial"/>
          <w:b/>
          <w:sz w:val="22"/>
          <w:szCs w:val="22"/>
        </w:rPr>
      </w:pPr>
    </w:p>
    <w:p w:rsidR="007A5F64" w:rsidRDefault="007A5F64" w:rsidP="00732525">
      <w:pPr>
        <w:rPr>
          <w:rFonts w:ascii="Arial" w:hAnsi="Arial" w:cs="Arial"/>
          <w:b/>
          <w:sz w:val="22"/>
          <w:szCs w:val="22"/>
        </w:rPr>
      </w:pPr>
    </w:p>
    <w:p w:rsidR="007A5F64" w:rsidRDefault="007A5F64" w:rsidP="00732525">
      <w:pPr>
        <w:rPr>
          <w:rFonts w:ascii="Arial" w:hAnsi="Arial" w:cs="Arial"/>
          <w:b/>
          <w:sz w:val="22"/>
          <w:szCs w:val="22"/>
        </w:rPr>
      </w:pPr>
    </w:p>
    <w:p w:rsidR="007A5F64" w:rsidRPr="006755BC" w:rsidRDefault="007A5F64" w:rsidP="007A5F64">
      <w:pPr>
        <w:rPr>
          <w:rFonts w:ascii="Arial" w:hAnsi="Arial"/>
          <w:sz w:val="28"/>
          <w:szCs w:val="28"/>
        </w:rPr>
      </w:pPr>
      <w:r>
        <w:rPr>
          <w:rFonts w:ascii="Arial" w:hAnsi="Arial"/>
          <w:b/>
          <w:sz w:val="28"/>
          <w:szCs w:val="28"/>
        </w:rPr>
        <w:t xml:space="preserve">Higher Education Compensation and Refunds Process </w:t>
      </w:r>
      <w:r w:rsidRPr="006755BC">
        <w:rPr>
          <w:rFonts w:ascii="Arial" w:hAnsi="Arial"/>
          <w:b/>
          <w:sz w:val="28"/>
          <w:szCs w:val="28"/>
        </w:rPr>
        <w:t xml:space="preserve">             </w:t>
      </w:r>
    </w:p>
    <w:p w:rsidR="007A5F64" w:rsidRDefault="007A5F64" w:rsidP="00732525">
      <w:pPr>
        <w:rPr>
          <w:rFonts w:ascii="Arial" w:hAnsi="Arial" w:cs="Arial"/>
          <w:b/>
          <w:sz w:val="22"/>
          <w:szCs w:val="22"/>
        </w:rPr>
      </w:pPr>
    </w:p>
    <w:p w:rsidR="001B554D" w:rsidRPr="001B554D" w:rsidRDefault="007A5F64" w:rsidP="00732525">
      <w:pPr>
        <w:rPr>
          <w:rFonts w:ascii="Arial" w:hAnsi="Arial" w:cs="Arial"/>
          <w:vanish/>
          <w:sz w:val="22"/>
          <w:szCs w:val="22"/>
          <w:specVanish/>
        </w:rPr>
      </w:pPr>
      <w:r>
        <w:rPr>
          <w:rFonts w:ascii="Arial" w:hAnsi="Arial" w:cs="Arial"/>
          <w:sz w:val="22"/>
          <w:szCs w:val="22"/>
        </w:rPr>
        <w:t>The College is committed to protecting the consumer rights of students and ensuring that they receive the education to which they are entitled according to the terms of their contract with the College.  The protection includes the approach taken to compens</w:t>
      </w:r>
      <w:r w:rsidR="001B554D">
        <w:rPr>
          <w:rFonts w:ascii="Arial" w:hAnsi="Arial" w:cs="Arial"/>
          <w:sz w:val="22"/>
          <w:szCs w:val="22"/>
        </w:rPr>
        <w:t>ation and refu</w:t>
      </w:r>
      <w:r>
        <w:rPr>
          <w:rFonts w:ascii="Arial" w:hAnsi="Arial" w:cs="Arial"/>
          <w:sz w:val="22"/>
          <w:szCs w:val="22"/>
        </w:rPr>
        <w:t>nds.</w:t>
      </w:r>
    </w:p>
    <w:p w:rsidR="007A5F64" w:rsidRDefault="001B554D" w:rsidP="001B554D">
      <w:pPr>
        <w:rPr>
          <w:rFonts w:ascii="Arial" w:hAnsi="Arial" w:cs="Arial"/>
          <w:sz w:val="22"/>
          <w:szCs w:val="22"/>
        </w:rPr>
      </w:pPr>
      <w:r>
        <w:rPr>
          <w:rFonts w:ascii="Arial" w:hAnsi="Arial" w:cs="Arial"/>
          <w:sz w:val="22"/>
          <w:szCs w:val="22"/>
        </w:rPr>
        <w:t xml:space="preserve"> </w:t>
      </w:r>
    </w:p>
    <w:p w:rsidR="00C8797C" w:rsidRDefault="00C8797C" w:rsidP="001B554D">
      <w:pPr>
        <w:rPr>
          <w:rFonts w:ascii="Arial" w:hAnsi="Arial" w:cs="Arial"/>
          <w:sz w:val="22"/>
          <w:szCs w:val="22"/>
        </w:rPr>
      </w:pPr>
    </w:p>
    <w:p w:rsidR="00C8797C" w:rsidRDefault="00C8797C" w:rsidP="001B554D">
      <w:pPr>
        <w:rPr>
          <w:rFonts w:ascii="Arial" w:hAnsi="Arial" w:cs="Arial"/>
          <w:sz w:val="22"/>
          <w:szCs w:val="22"/>
        </w:rPr>
      </w:pPr>
    </w:p>
    <w:p w:rsidR="00C8797C" w:rsidRPr="00F52986" w:rsidRDefault="00C8797C" w:rsidP="001B554D">
      <w:pPr>
        <w:rPr>
          <w:rFonts w:ascii="Arial" w:hAnsi="Arial" w:cs="Arial"/>
          <w:b/>
          <w:sz w:val="22"/>
          <w:szCs w:val="22"/>
        </w:rPr>
      </w:pPr>
      <w:r w:rsidRPr="00F52986">
        <w:rPr>
          <w:rFonts w:ascii="Arial" w:hAnsi="Arial" w:cs="Arial"/>
          <w:b/>
          <w:sz w:val="22"/>
          <w:szCs w:val="22"/>
        </w:rPr>
        <w:t>Refund of fees</w:t>
      </w:r>
    </w:p>
    <w:p w:rsidR="00C8797C" w:rsidRDefault="00C8797C" w:rsidP="001B554D">
      <w:pPr>
        <w:rPr>
          <w:rFonts w:ascii="Arial" w:hAnsi="Arial" w:cs="Arial"/>
          <w:sz w:val="22"/>
          <w:szCs w:val="22"/>
        </w:rPr>
      </w:pPr>
      <w:r>
        <w:rPr>
          <w:rFonts w:ascii="Arial" w:hAnsi="Arial" w:cs="Arial"/>
          <w:sz w:val="22"/>
          <w:szCs w:val="22"/>
        </w:rPr>
        <w:t>Gateshead College is committed to supporting all students to ensure they reach their full potential and achieve their programme of study.  The risk that we may need to close any of our programmes in an unplanned way is very low, however, situations and events beyond the college’s control may occur resulting in changes to individual modules or whole programmes of study.  The college will take all reasonable steps to avoid making significant changes to provision at the start of the academic year or during an academic year.</w:t>
      </w:r>
    </w:p>
    <w:p w:rsidR="00C8797C" w:rsidRDefault="00C8797C" w:rsidP="001B554D">
      <w:pPr>
        <w:rPr>
          <w:rFonts w:ascii="Arial" w:hAnsi="Arial" w:cs="Arial"/>
          <w:sz w:val="22"/>
          <w:szCs w:val="22"/>
        </w:rPr>
      </w:pPr>
    </w:p>
    <w:p w:rsidR="00C8797C" w:rsidRDefault="00C8797C" w:rsidP="001B554D">
      <w:pPr>
        <w:rPr>
          <w:rFonts w:ascii="Arial" w:hAnsi="Arial" w:cs="Arial"/>
          <w:sz w:val="22"/>
          <w:szCs w:val="22"/>
        </w:rPr>
      </w:pPr>
      <w:r>
        <w:rPr>
          <w:rFonts w:ascii="Arial" w:hAnsi="Arial" w:cs="Arial"/>
          <w:sz w:val="22"/>
          <w:szCs w:val="22"/>
        </w:rPr>
        <w:t>In the unlikely event that a course of study does not meet the standards agreed and expected, a student may apply for a refund of all or part of any tuition fees paid.  Students may also apply for a refund of any additional costs associated with the course of study that they were expected to pay as a condition of enrolment.</w:t>
      </w:r>
    </w:p>
    <w:p w:rsidR="00C8797C" w:rsidRDefault="00C8797C" w:rsidP="001B554D">
      <w:pPr>
        <w:rPr>
          <w:rFonts w:ascii="Arial" w:hAnsi="Arial" w:cs="Arial"/>
          <w:sz w:val="22"/>
          <w:szCs w:val="22"/>
        </w:rPr>
      </w:pPr>
    </w:p>
    <w:p w:rsidR="00C8797C" w:rsidRDefault="00C8797C" w:rsidP="001B554D">
      <w:pPr>
        <w:rPr>
          <w:rFonts w:ascii="Arial" w:hAnsi="Arial" w:cs="Arial"/>
          <w:sz w:val="22"/>
          <w:szCs w:val="22"/>
        </w:rPr>
      </w:pPr>
      <w:r>
        <w:rPr>
          <w:rFonts w:ascii="Arial" w:hAnsi="Arial" w:cs="Arial"/>
          <w:sz w:val="22"/>
          <w:szCs w:val="22"/>
        </w:rPr>
        <w:t xml:space="preserve">Where the College can demonstrate that the partial completion of prior stages was not </w:t>
      </w:r>
      <w:r w:rsidR="001F450E">
        <w:rPr>
          <w:rFonts w:ascii="Arial" w:hAnsi="Arial" w:cs="Arial"/>
          <w:sz w:val="22"/>
          <w:szCs w:val="22"/>
        </w:rPr>
        <w:t>the fault of the College any</w:t>
      </w:r>
      <w:r w:rsidR="00F52986">
        <w:rPr>
          <w:rFonts w:ascii="Arial" w:hAnsi="Arial" w:cs="Arial"/>
          <w:sz w:val="22"/>
          <w:szCs w:val="22"/>
        </w:rPr>
        <w:t xml:space="preserve"> refund would be reviewed and the College may deduct a proportion of any payment.  This deductions would be explained to the student.</w:t>
      </w:r>
    </w:p>
    <w:p w:rsidR="00F52986" w:rsidRDefault="00F52986" w:rsidP="001B554D">
      <w:pPr>
        <w:rPr>
          <w:rFonts w:ascii="Arial" w:hAnsi="Arial" w:cs="Arial"/>
          <w:sz w:val="22"/>
          <w:szCs w:val="22"/>
        </w:rPr>
      </w:pPr>
    </w:p>
    <w:p w:rsidR="00F52986" w:rsidRDefault="00F52986" w:rsidP="001B554D">
      <w:pPr>
        <w:rPr>
          <w:rFonts w:ascii="Arial" w:hAnsi="Arial" w:cs="Arial"/>
          <w:sz w:val="22"/>
          <w:szCs w:val="22"/>
        </w:rPr>
      </w:pPr>
    </w:p>
    <w:p w:rsidR="00F52986" w:rsidRDefault="00F52986" w:rsidP="001B554D">
      <w:pPr>
        <w:rPr>
          <w:rFonts w:ascii="Arial" w:hAnsi="Arial" w:cs="Arial"/>
          <w:b/>
          <w:sz w:val="22"/>
          <w:szCs w:val="22"/>
        </w:rPr>
      </w:pPr>
      <w:r w:rsidRPr="00F52986">
        <w:rPr>
          <w:rFonts w:ascii="Arial" w:hAnsi="Arial" w:cs="Arial"/>
          <w:b/>
          <w:sz w:val="22"/>
          <w:szCs w:val="22"/>
        </w:rPr>
        <w:t>Compensation</w:t>
      </w:r>
    </w:p>
    <w:p w:rsidR="00F52986" w:rsidRDefault="00F52986" w:rsidP="001B554D">
      <w:pPr>
        <w:rPr>
          <w:rFonts w:ascii="Arial" w:hAnsi="Arial" w:cs="Arial"/>
          <w:sz w:val="22"/>
          <w:szCs w:val="22"/>
        </w:rPr>
      </w:pPr>
      <w:r>
        <w:rPr>
          <w:rFonts w:ascii="Arial" w:hAnsi="Arial" w:cs="Arial"/>
          <w:sz w:val="22"/>
          <w:szCs w:val="22"/>
        </w:rPr>
        <w:t>In the unlikely that the College was unable to continue delivery of a programme or action taken significantly alters the approach to delivery which leads to students incurring additional or unnecessary costs, the college would consider financial compensation for those students affected.</w:t>
      </w:r>
      <w:r w:rsidR="00970FDD">
        <w:rPr>
          <w:rFonts w:ascii="Arial" w:hAnsi="Arial" w:cs="Arial"/>
          <w:sz w:val="22"/>
          <w:szCs w:val="22"/>
        </w:rPr>
        <w:t xml:space="preserve">  This may include:</w:t>
      </w:r>
    </w:p>
    <w:p w:rsidR="00970FDD" w:rsidRDefault="00970FDD" w:rsidP="001B554D">
      <w:pPr>
        <w:rPr>
          <w:rFonts w:ascii="Arial" w:hAnsi="Arial" w:cs="Arial"/>
          <w:sz w:val="22"/>
          <w:szCs w:val="22"/>
        </w:rPr>
      </w:pPr>
    </w:p>
    <w:p w:rsidR="00970FDD" w:rsidRDefault="00970FDD" w:rsidP="00970FDD">
      <w:pPr>
        <w:pStyle w:val="ListParagraph"/>
        <w:numPr>
          <w:ilvl w:val="0"/>
          <w:numId w:val="12"/>
        </w:numPr>
        <w:rPr>
          <w:rFonts w:ascii="Arial" w:hAnsi="Arial" w:cs="Arial"/>
        </w:rPr>
      </w:pPr>
      <w:r>
        <w:rPr>
          <w:rFonts w:ascii="Arial" w:hAnsi="Arial" w:cs="Arial"/>
        </w:rPr>
        <w:t>Compensation for tuition and maintenance costs where students have to transfer to another course or provider</w:t>
      </w:r>
    </w:p>
    <w:p w:rsidR="00970FDD" w:rsidRDefault="00970FDD" w:rsidP="00970FDD">
      <w:pPr>
        <w:rPr>
          <w:rFonts w:ascii="Arial" w:hAnsi="Arial" w:cs="Arial"/>
        </w:rPr>
      </w:pPr>
    </w:p>
    <w:p w:rsidR="00970FDD" w:rsidRDefault="00970FDD" w:rsidP="00970FDD">
      <w:pPr>
        <w:pStyle w:val="ListParagraph"/>
        <w:numPr>
          <w:ilvl w:val="0"/>
          <w:numId w:val="12"/>
        </w:numPr>
        <w:rPr>
          <w:rFonts w:ascii="Arial" w:hAnsi="Arial" w:cs="Arial"/>
        </w:rPr>
      </w:pPr>
      <w:r>
        <w:rPr>
          <w:rFonts w:ascii="Arial" w:hAnsi="Arial" w:cs="Arial"/>
        </w:rPr>
        <w:t>Payment of any additional travel costs for students affected by a change in the location of their course</w:t>
      </w:r>
    </w:p>
    <w:p w:rsidR="00970FDD" w:rsidRPr="00970FDD" w:rsidRDefault="00970FDD" w:rsidP="00970FDD">
      <w:pPr>
        <w:pStyle w:val="ListParagraph"/>
        <w:rPr>
          <w:rFonts w:ascii="Arial" w:hAnsi="Arial" w:cs="Arial"/>
        </w:rPr>
      </w:pPr>
    </w:p>
    <w:p w:rsidR="00970FDD" w:rsidRDefault="00970FDD" w:rsidP="00970FDD">
      <w:pPr>
        <w:rPr>
          <w:rFonts w:ascii="Arial" w:hAnsi="Arial" w:cs="Arial"/>
        </w:rPr>
      </w:pPr>
    </w:p>
    <w:p w:rsidR="00970FDD" w:rsidRPr="00416B2A" w:rsidRDefault="00970FDD" w:rsidP="00970FDD">
      <w:pPr>
        <w:rPr>
          <w:rFonts w:ascii="Arial" w:hAnsi="Arial" w:cs="Arial"/>
          <w:b/>
          <w:sz w:val="22"/>
          <w:szCs w:val="22"/>
        </w:rPr>
      </w:pPr>
      <w:r w:rsidRPr="00416B2A">
        <w:rPr>
          <w:rFonts w:ascii="Arial" w:hAnsi="Arial" w:cs="Arial"/>
          <w:b/>
          <w:sz w:val="22"/>
          <w:szCs w:val="22"/>
        </w:rPr>
        <w:t>Applications for Refunds and Compensation</w:t>
      </w:r>
    </w:p>
    <w:p w:rsidR="00DA4A22" w:rsidRPr="00416B2A" w:rsidRDefault="00DA4A22" w:rsidP="00970FDD">
      <w:pPr>
        <w:rPr>
          <w:rFonts w:ascii="Arial" w:hAnsi="Arial" w:cs="Arial"/>
          <w:sz w:val="22"/>
          <w:szCs w:val="22"/>
        </w:rPr>
      </w:pPr>
      <w:r w:rsidRPr="00416B2A">
        <w:rPr>
          <w:rFonts w:ascii="Arial" w:hAnsi="Arial" w:cs="Arial"/>
          <w:sz w:val="22"/>
          <w:szCs w:val="22"/>
        </w:rPr>
        <w:t>If a student believes that they are entitled to receive a refund or compensation, the following steps should be followed:</w:t>
      </w:r>
    </w:p>
    <w:p w:rsidR="00DA4A22" w:rsidRPr="00416B2A" w:rsidRDefault="00DA4A22" w:rsidP="00970FDD">
      <w:pPr>
        <w:rPr>
          <w:rFonts w:ascii="Arial" w:hAnsi="Arial" w:cs="Arial"/>
          <w:sz w:val="22"/>
          <w:szCs w:val="22"/>
        </w:rPr>
      </w:pPr>
    </w:p>
    <w:tbl>
      <w:tblPr>
        <w:tblStyle w:val="TableGrid"/>
        <w:tblW w:w="0" w:type="auto"/>
        <w:tblLook w:val="04A0" w:firstRow="1" w:lastRow="0" w:firstColumn="1" w:lastColumn="0" w:noHBand="0" w:noVBand="1"/>
      </w:tblPr>
      <w:tblGrid>
        <w:gridCol w:w="1555"/>
        <w:gridCol w:w="4798"/>
        <w:gridCol w:w="3177"/>
      </w:tblGrid>
      <w:tr w:rsidR="00DA4A22" w:rsidTr="00DA4A22">
        <w:tc>
          <w:tcPr>
            <w:tcW w:w="1555" w:type="dxa"/>
          </w:tcPr>
          <w:p w:rsidR="00DA4A22" w:rsidRPr="00416B2A" w:rsidRDefault="00DA4A22" w:rsidP="00970FDD">
            <w:pPr>
              <w:rPr>
                <w:rFonts w:ascii="Arial" w:hAnsi="Arial" w:cs="Arial"/>
                <w:sz w:val="22"/>
                <w:szCs w:val="22"/>
              </w:rPr>
            </w:pPr>
            <w:r w:rsidRPr="00416B2A">
              <w:rPr>
                <w:rFonts w:ascii="Arial" w:hAnsi="Arial" w:cs="Arial"/>
                <w:sz w:val="22"/>
                <w:szCs w:val="22"/>
              </w:rPr>
              <w:t>Stage</w:t>
            </w:r>
          </w:p>
        </w:tc>
        <w:tc>
          <w:tcPr>
            <w:tcW w:w="4798" w:type="dxa"/>
          </w:tcPr>
          <w:p w:rsidR="00DA4A22" w:rsidRPr="00416B2A" w:rsidRDefault="00DA4A22" w:rsidP="00970FDD">
            <w:pPr>
              <w:rPr>
                <w:rFonts w:ascii="Arial" w:hAnsi="Arial" w:cs="Arial"/>
                <w:sz w:val="22"/>
                <w:szCs w:val="22"/>
              </w:rPr>
            </w:pPr>
            <w:r w:rsidRPr="00416B2A">
              <w:rPr>
                <w:rFonts w:ascii="Arial" w:hAnsi="Arial" w:cs="Arial"/>
                <w:sz w:val="22"/>
                <w:szCs w:val="22"/>
              </w:rPr>
              <w:t>Process</w:t>
            </w:r>
          </w:p>
        </w:tc>
        <w:tc>
          <w:tcPr>
            <w:tcW w:w="3177" w:type="dxa"/>
          </w:tcPr>
          <w:p w:rsidR="00DA4A22" w:rsidRPr="00416B2A" w:rsidRDefault="00DA4A22" w:rsidP="00970FDD">
            <w:pPr>
              <w:rPr>
                <w:rFonts w:ascii="Arial" w:hAnsi="Arial" w:cs="Arial"/>
                <w:sz w:val="22"/>
                <w:szCs w:val="22"/>
              </w:rPr>
            </w:pPr>
            <w:r w:rsidRPr="00416B2A">
              <w:rPr>
                <w:rFonts w:ascii="Arial" w:hAnsi="Arial" w:cs="Arial"/>
                <w:sz w:val="22"/>
                <w:szCs w:val="22"/>
              </w:rPr>
              <w:t>Timescale</w:t>
            </w:r>
          </w:p>
        </w:tc>
      </w:tr>
      <w:tr w:rsidR="00DA4A22" w:rsidTr="00DA4A22">
        <w:tc>
          <w:tcPr>
            <w:tcW w:w="1555" w:type="dxa"/>
          </w:tcPr>
          <w:p w:rsidR="00DA4A22" w:rsidRPr="00416B2A" w:rsidRDefault="00DA4A22" w:rsidP="00970FDD">
            <w:pPr>
              <w:rPr>
                <w:rFonts w:ascii="Arial" w:hAnsi="Arial" w:cs="Arial"/>
                <w:sz w:val="22"/>
                <w:szCs w:val="22"/>
              </w:rPr>
            </w:pPr>
            <w:r w:rsidRPr="00416B2A">
              <w:rPr>
                <w:rFonts w:ascii="Arial" w:hAnsi="Arial" w:cs="Arial"/>
                <w:sz w:val="22"/>
                <w:szCs w:val="22"/>
              </w:rPr>
              <w:t>Stage 1 – Initial enquiry</w:t>
            </w:r>
          </w:p>
        </w:tc>
        <w:tc>
          <w:tcPr>
            <w:tcW w:w="4798" w:type="dxa"/>
          </w:tcPr>
          <w:p w:rsidR="00DA4A22" w:rsidRPr="00416B2A" w:rsidRDefault="00DA4A22" w:rsidP="00970FDD">
            <w:pPr>
              <w:rPr>
                <w:rFonts w:ascii="Arial" w:hAnsi="Arial" w:cs="Arial"/>
                <w:sz w:val="22"/>
                <w:szCs w:val="22"/>
              </w:rPr>
            </w:pPr>
            <w:r w:rsidRPr="00416B2A">
              <w:rPr>
                <w:rFonts w:ascii="Arial" w:hAnsi="Arial" w:cs="Arial"/>
                <w:sz w:val="22"/>
                <w:szCs w:val="22"/>
              </w:rPr>
              <w:t>Applications for refunds or compensation should be addressed to the Funding &amp; Data Manager or Financial Controller in writing or via email.</w:t>
            </w:r>
            <w:r w:rsidR="00D36E69" w:rsidRPr="00416B2A">
              <w:rPr>
                <w:rFonts w:ascii="Arial" w:hAnsi="Arial" w:cs="Arial"/>
                <w:sz w:val="22"/>
                <w:szCs w:val="22"/>
              </w:rPr>
              <w:t xml:space="preserve">  The College will aim to make decisions within 15 working days following receipt of the application</w:t>
            </w:r>
            <w:r w:rsidR="00CC464F">
              <w:rPr>
                <w:rFonts w:ascii="Arial" w:hAnsi="Arial" w:cs="Arial"/>
                <w:sz w:val="22"/>
                <w:szCs w:val="22"/>
              </w:rPr>
              <w:t xml:space="preserve"> and will keep students</w:t>
            </w:r>
            <w:r w:rsidR="00BB3A68" w:rsidRPr="00416B2A">
              <w:rPr>
                <w:rFonts w:ascii="Arial" w:hAnsi="Arial" w:cs="Arial"/>
                <w:sz w:val="22"/>
                <w:szCs w:val="22"/>
              </w:rPr>
              <w:t xml:space="preserve"> informed in the event that additional time is required.  All decisions will be </w:t>
            </w:r>
            <w:r w:rsidR="00BB3A68" w:rsidRPr="00416B2A">
              <w:rPr>
                <w:rFonts w:ascii="Arial" w:hAnsi="Arial" w:cs="Arial"/>
                <w:sz w:val="22"/>
                <w:szCs w:val="22"/>
              </w:rPr>
              <w:lastRenderedPageBreak/>
              <w:t>confirmed in</w:t>
            </w:r>
            <w:r w:rsidR="001F450E">
              <w:rPr>
                <w:rFonts w:ascii="Arial" w:hAnsi="Arial" w:cs="Arial"/>
                <w:sz w:val="22"/>
                <w:szCs w:val="22"/>
              </w:rPr>
              <w:t xml:space="preserve"> writing and any refunds actioned</w:t>
            </w:r>
            <w:r w:rsidR="00BB3A68" w:rsidRPr="00416B2A">
              <w:rPr>
                <w:rFonts w:ascii="Arial" w:hAnsi="Arial" w:cs="Arial"/>
                <w:sz w:val="22"/>
                <w:szCs w:val="22"/>
              </w:rPr>
              <w:t xml:space="preserve"> within 5 working days.</w:t>
            </w:r>
          </w:p>
        </w:tc>
        <w:tc>
          <w:tcPr>
            <w:tcW w:w="3177" w:type="dxa"/>
          </w:tcPr>
          <w:p w:rsidR="00DA4A22" w:rsidRPr="00416B2A" w:rsidRDefault="00BB3A68" w:rsidP="00970FDD">
            <w:pPr>
              <w:rPr>
                <w:rFonts w:ascii="Arial" w:hAnsi="Arial" w:cs="Arial"/>
                <w:sz w:val="22"/>
                <w:szCs w:val="22"/>
              </w:rPr>
            </w:pPr>
            <w:r w:rsidRPr="00416B2A">
              <w:rPr>
                <w:rFonts w:ascii="Arial" w:hAnsi="Arial" w:cs="Arial"/>
                <w:sz w:val="22"/>
                <w:szCs w:val="22"/>
              </w:rPr>
              <w:lastRenderedPageBreak/>
              <w:t>Applications to be submitted within 10 working days of any concern</w:t>
            </w:r>
          </w:p>
        </w:tc>
      </w:tr>
      <w:tr w:rsidR="00DA4A22" w:rsidTr="00DA4A22">
        <w:tc>
          <w:tcPr>
            <w:tcW w:w="1555" w:type="dxa"/>
          </w:tcPr>
          <w:p w:rsidR="00DA4A22" w:rsidRPr="00416B2A" w:rsidRDefault="00BB3A68" w:rsidP="00970FDD">
            <w:pPr>
              <w:rPr>
                <w:rFonts w:ascii="Arial" w:hAnsi="Arial" w:cs="Arial"/>
                <w:sz w:val="22"/>
                <w:szCs w:val="22"/>
              </w:rPr>
            </w:pPr>
            <w:r w:rsidRPr="00416B2A">
              <w:rPr>
                <w:rFonts w:ascii="Arial" w:hAnsi="Arial" w:cs="Arial"/>
                <w:sz w:val="22"/>
                <w:szCs w:val="22"/>
              </w:rPr>
              <w:t xml:space="preserve">Stage 2 </w:t>
            </w:r>
            <w:r w:rsidR="001F450E">
              <w:rPr>
                <w:rFonts w:ascii="Arial" w:hAnsi="Arial" w:cs="Arial"/>
                <w:sz w:val="22"/>
                <w:szCs w:val="22"/>
              </w:rPr>
              <w:t>–</w:t>
            </w:r>
            <w:r w:rsidRPr="00416B2A">
              <w:rPr>
                <w:rFonts w:ascii="Arial" w:hAnsi="Arial" w:cs="Arial"/>
                <w:sz w:val="22"/>
                <w:szCs w:val="22"/>
              </w:rPr>
              <w:t xml:space="preserve"> Appeal</w:t>
            </w:r>
          </w:p>
        </w:tc>
        <w:tc>
          <w:tcPr>
            <w:tcW w:w="4798" w:type="dxa"/>
          </w:tcPr>
          <w:p w:rsidR="00DA4A22" w:rsidRPr="00416B2A" w:rsidRDefault="00CC464F" w:rsidP="00970FDD">
            <w:pPr>
              <w:rPr>
                <w:rFonts w:ascii="Arial" w:hAnsi="Arial" w:cs="Arial"/>
                <w:sz w:val="22"/>
                <w:szCs w:val="22"/>
              </w:rPr>
            </w:pPr>
            <w:r>
              <w:rPr>
                <w:rFonts w:ascii="Arial" w:hAnsi="Arial" w:cs="Arial"/>
                <w:sz w:val="22"/>
                <w:szCs w:val="22"/>
              </w:rPr>
              <w:t>If the student</w:t>
            </w:r>
            <w:r w:rsidR="00BB3A68" w:rsidRPr="00416B2A">
              <w:rPr>
                <w:rFonts w:ascii="Arial" w:hAnsi="Arial" w:cs="Arial"/>
                <w:sz w:val="22"/>
                <w:szCs w:val="22"/>
              </w:rPr>
              <w:t xml:space="preserve"> is dissatisfied with the decision of the Funding &amp; Data Manger or Financial Controlled, they should submit a formal letter or appeal to the Deputy Principal: Operations/Finance Director within 15 working days.  This will trigger a full review of the case involving the appropriate Assistant Principal.  </w:t>
            </w:r>
          </w:p>
        </w:tc>
        <w:tc>
          <w:tcPr>
            <w:tcW w:w="3177" w:type="dxa"/>
          </w:tcPr>
          <w:p w:rsidR="00DA4A22" w:rsidRPr="00416B2A" w:rsidRDefault="0061551E" w:rsidP="00970FDD">
            <w:pPr>
              <w:rPr>
                <w:rFonts w:ascii="Arial" w:hAnsi="Arial" w:cs="Arial"/>
                <w:sz w:val="22"/>
                <w:szCs w:val="22"/>
              </w:rPr>
            </w:pPr>
            <w:r w:rsidRPr="00416B2A">
              <w:rPr>
                <w:rFonts w:ascii="Arial" w:hAnsi="Arial" w:cs="Arial"/>
                <w:sz w:val="22"/>
                <w:szCs w:val="22"/>
              </w:rPr>
              <w:t>15 working days</w:t>
            </w:r>
          </w:p>
        </w:tc>
      </w:tr>
      <w:tr w:rsidR="00DA4A22" w:rsidTr="00DA4A22">
        <w:tc>
          <w:tcPr>
            <w:tcW w:w="1555" w:type="dxa"/>
          </w:tcPr>
          <w:p w:rsidR="00DA4A22" w:rsidRPr="00416B2A" w:rsidRDefault="00CE4F82" w:rsidP="00970FDD">
            <w:pPr>
              <w:rPr>
                <w:rFonts w:ascii="Arial" w:hAnsi="Arial" w:cs="Arial"/>
                <w:sz w:val="22"/>
                <w:szCs w:val="22"/>
              </w:rPr>
            </w:pPr>
            <w:r w:rsidRPr="00416B2A">
              <w:rPr>
                <w:rFonts w:ascii="Arial" w:hAnsi="Arial" w:cs="Arial"/>
                <w:sz w:val="22"/>
                <w:szCs w:val="22"/>
              </w:rPr>
              <w:t xml:space="preserve">Stage 3 - </w:t>
            </w:r>
          </w:p>
        </w:tc>
        <w:tc>
          <w:tcPr>
            <w:tcW w:w="4798" w:type="dxa"/>
          </w:tcPr>
          <w:p w:rsidR="00416B2A" w:rsidRPr="00416B2A" w:rsidRDefault="00CC464F" w:rsidP="00416B2A">
            <w:pPr>
              <w:pStyle w:val="Default"/>
              <w:rPr>
                <w:sz w:val="22"/>
                <w:szCs w:val="22"/>
              </w:rPr>
            </w:pPr>
            <w:r>
              <w:rPr>
                <w:sz w:val="22"/>
                <w:szCs w:val="22"/>
              </w:rPr>
              <w:t>If a student</w:t>
            </w:r>
            <w:r w:rsidR="00416B2A" w:rsidRPr="00416B2A">
              <w:rPr>
                <w:sz w:val="22"/>
                <w:szCs w:val="22"/>
              </w:rPr>
              <w:t xml:space="preserve"> is not satisfied with the College’s final decision a complaint can be made to the Office of the Independent Adjudicator (OIA). The details of how to appeal are found on http://oiahe.org.uk/making-a-complaint-to-the-oia/how-to-make-a-complaint.aspx and the contact details are; </w:t>
            </w:r>
          </w:p>
          <w:p w:rsidR="00416B2A" w:rsidRPr="00416B2A" w:rsidRDefault="00416B2A" w:rsidP="00416B2A">
            <w:pPr>
              <w:pStyle w:val="Default"/>
              <w:rPr>
                <w:sz w:val="22"/>
                <w:szCs w:val="22"/>
              </w:rPr>
            </w:pPr>
          </w:p>
          <w:p w:rsidR="00416B2A" w:rsidRPr="00416B2A" w:rsidRDefault="00416B2A" w:rsidP="00416B2A">
            <w:pPr>
              <w:pStyle w:val="Default"/>
              <w:rPr>
                <w:sz w:val="22"/>
                <w:szCs w:val="22"/>
              </w:rPr>
            </w:pPr>
            <w:r w:rsidRPr="00416B2A">
              <w:rPr>
                <w:b/>
                <w:bCs/>
                <w:sz w:val="22"/>
                <w:szCs w:val="22"/>
              </w:rPr>
              <w:t xml:space="preserve">OIA </w:t>
            </w:r>
            <w:r w:rsidRPr="00416B2A">
              <w:rPr>
                <w:sz w:val="22"/>
                <w:szCs w:val="22"/>
              </w:rPr>
              <w:t xml:space="preserve">Second Floor Abbey Gate 57 – 75 Kings Road READING RG1 3AB </w:t>
            </w:r>
          </w:p>
          <w:p w:rsidR="00416B2A" w:rsidRPr="00416B2A" w:rsidRDefault="00416B2A" w:rsidP="00416B2A">
            <w:pPr>
              <w:pStyle w:val="Default"/>
              <w:rPr>
                <w:sz w:val="22"/>
                <w:szCs w:val="22"/>
              </w:rPr>
            </w:pPr>
            <w:r w:rsidRPr="00416B2A">
              <w:rPr>
                <w:sz w:val="22"/>
                <w:szCs w:val="22"/>
              </w:rPr>
              <w:t xml:space="preserve">Tel: </w:t>
            </w:r>
            <w:r w:rsidRPr="00416B2A">
              <w:rPr>
                <w:b/>
                <w:bCs/>
                <w:sz w:val="22"/>
                <w:szCs w:val="22"/>
              </w:rPr>
              <w:t xml:space="preserve">0118 959 9813 </w:t>
            </w:r>
          </w:p>
          <w:p w:rsidR="00416B2A" w:rsidRPr="00416B2A" w:rsidRDefault="00416B2A" w:rsidP="00416B2A">
            <w:pPr>
              <w:pStyle w:val="Default"/>
              <w:rPr>
                <w:sz w:val="22"/>
                <w:szCs w:val="22"/>
              </w:rPr>
            </w:pPr>
            <w:r w:rsidRPr="00416B2A">
              <w:rPr>
                <w:sz w:val="22"/>
                <w:szCs w:val="22"/>
              </w:rPr>
              <w:t xml:space="preserve">E-form: https://oiahe.org.uk/contact-us/e-form.aspx </w:t>
            </w:r>
          </w:p>
          <w:p w:rsidR="00DA4A22" w:rsidRPr="00416B2A" w:rsidRDefault="00416B2A" w:rsidP="00416B2A">
            <w:pPr>
              <w:rPr>
                <w:rFonts w:ascii="Arial" w:hAnsi="Arial" w:cs="Arial"/>
                <w:sz w:val="22"/>
                <w:szCs w:val="22"/>
              </w:rPr>
            </w:pPr>
            <w:r w:rsidRPr="00416B2A">
              <w:rPr>
                <w:sz w:val="22"/>
                <w:szCs w:val="22"/>
              </w:rPr>
              <w:t>Email enquiries@oiahe.org.uk</w:t>
            </w:r>
          </w:p>
        </w:tc>
        <w:tc>
          <w:tcPr>
            <w:tcW w:w="3177" w:type="dxa"/>
          </w:tcPr>
          <w:p w:rsidR="00DA4A22" w:rsidRPr="00416B2A" w:rsidRDefault="000426B5" w:rsidP="00970FDD">
            <w:pPr>
              <w:rPr>
                <w:rFonts w:ascii="Arial" w:hAnsi="Arial" w:cs="Arial"/>
                <w:sz w:val="22"/>
                <w:szCs w:val="22"/>
              </w:rPr>
            </w:pPr>
            <w:r>
              <w:rPr>
                <w:rFonts w:ascii="Arial" w:hAnsi="Arial" w:cs="Arial"/>
                <w:sz w:val="22"/>
                <w:szCs w:val="22"/>
              </w:rPr>
              <w:t>In accordance with OIA schedule</w:t>
            </w:r>
          </w:p>
        </w:tc>
      </w:tr>
      <w:tr w:rsidR="00DA4A22" w:rsidTr="00DA4A22">
        <w:tc>
          <w:tcPr>
            <w:tcW w:w="1555" w:type="dxa"/>
          </w:tcPr>
          <w:p w:rsidR="00DA4A22" w:rsidRDefault="00DA4A22" w:rsidP="00970FDD">
            <w:pPr>
              <w:rPr>
                <w:rFonts w:ascii="Arial" w:hAnsi="Arial" w:cs="Arial"/>
              </w:rPr>
            </w:pPr>
          </w:p>
        </w:tc>
        <w:tc>
          <w:tcPr>
            <w:tcW w:w="4798" w:type="dxa"/>
          </w:tcPr>
          <w:p w:rsidR="00DA4A22" w:rsidRDefault="00DA4A22" w:rsidP="00970FDD">
            <w:pPr>
              <w:rPr>
                <w:rFonts w:ascii="Arial" w:hAnsi="Arial" w:cs="Arial"/>
              </w:rPr>
            </w:pPr>
          </w:p>
        </w:tc>
        <w:tc>
          <w:tcPr>
            <w:tcW w:w="3177" w:type="dxa"/>
          </w:tcPr>
          <w:p w:rsidR="00DA4A22" w:rsidRDefault="00DA4A22" w:rsidP="00970FDD">
            <w:pPr>
              <w:rPr>
                <w:rFonts w:ascii="Arial" w:hAnsi="Arial" w:cs="Arial"/>
              </w:rPr>
            </w:pPr>
          </w:p>
        </w:tc>
      </w:tr>
    </w:tbl>
    <w:p w:rsidR="00DA4A22" w:rsidRPr="00DA4A22" w:rsidRDefault="00DA4A22" w:rsidP="00970FDD">
      <w:pPr>
        <w:rPr>
          <w:rFonts w:ascii="Arial" w:hAnsi="Arial" w:cs="Arial"/>
        </w:rPr>
      </w:pPr>
    </w:p>
    <w:sectPr w:rsidR="00DA4A22" w:rsidRPr="00DA4A22" w:rsidSect="00FB2D00">
      <w:footerReference w:type="default" r:id="rId11"/>
      <w:pgSz w:w="11906" w:h="16838" w:code="9"/>
      <w:pgMar w:top="181" w:right="1106" w:bottom="709" w:left="1259" w:header="709" w:footer="35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673" w:rsidRDefault="00E40673">
      <w:r>
        <w:separator/>
      </w:r>
    </w:p>
  </w:endnote>
  <w:endnote w:type="continuationSeparator" w:id="0">
    <w:p w:rsidR="00E40673" w:rsidRDefault="00E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73" w:rsidRPr="00D50F8A" w:rsidRDefault="00E40673" w:rsidP="00D50F8A">
    <w:pPr>
      <w:pStyle w:val="Footer"/>
      <w:jc w:val="right"/>
      <w:rPr>
        <w:rFonts w:ascii="Arial" w:hAnsi="Arial" w:cs="Arial"/>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673" w:rsidRDefault="00E40673">
      <w:r>
        <w:separator/>
      </w:r>
    </w:p>
  </w:footnote>
  <w:footnote w:type="continuationSeparator" w:id="0">
    <w:p w:rsidR="00E40673" w:rsidRDefault="00E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D6B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47189"/>
    <w:multiLevelType w:val="hybridMultilevel"/>
    <w:tmpl w:val="685AD96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CA2020"/>
    <w:multiLevelType w:val="hybridMultilevel"/>
    <w:tmpl w:val="64F6B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382935"/>
    <w:multiLevelType w:val="hybridMultilevel"/>
    <w:tmpl w:val="3CE6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23A80"/>
    <w:multiLevelType w:val="hybridMultilevel"/>
    <w:tmpl w:val="15A47BFC"/>
    <w:lvl w:ilvl="0" w:tplc="F6444DE8">
      <w:start w:val="1"/>
      <w:numFmt w:val="decimal"/>
      <w:lvlText w:val="%1."/>
      <w:lvlJc w:val="left"/>
      <w:pPr>
        <w:ind w:left="2160" w:hanging="360"/>
      </w:pPr>
      <w:rPr>
        <w:rFonts w:ascii="Arial" w:eastAsiaTheme="minorHAnsi" w:hAnsi="Arial"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10E766C"/>
    <w:multiLevelType w:val="hybridMultilevel"/>
    <w:tmpl w:val="A6663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A8168E"/>
    <w:multiLevelType w:val="hybridMultilevel"/>
    <w:tmpl w:val="0B22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D22F7"/>
    <w:multiLevelType w:val="hybridMultilevel"/>
    <w:tmpl w:val="A768C44C"/>
    <w:lvl w:ilvl="0" w:tplc="6E0C5C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5723A"/>
    <w:multiLevelType w:val="multilevel"/>
    <w:tmpl w:val="6C740ECA"/>
    <w:lvl w:ilvl="0">
      <w:start w:val="1"/>
      <w:numFmt w:val="decimal"/>
      <w:lvlText w:val="%1."/>
      <w:lvlJc w:val="left"/>
      <w:pPr>
        <w:ind w:left="218" w:hanging="360"/>
      </w:pPr>
      <w:rPr>
        <w:rFonts w:hint="default"/>
      </w:rPr>
    </w:lvl>
    <w:lvl w:ilvl="1">
      <w:start w:val="1"/>
      <w:numFmt w:val="decimal"/>
      <w:isLgl/>
      <w:lvlText w:val="%1.%2"/>
      <w:lvlJc w:val="left"/>
      <w:pPr>
        <w:ind w:left="713" w:hanging="495"/>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9" w15:restartNumberingAfterBreak="0">
    <w:nsid w:val="59A55C13"/>
    <w:multiLevelType w:val="hybridMultilevel"/>
    <w:tmpl w:val="D292E7F2"/>
    <w:lvl w:ilvl="0" w:tplc="D05CD9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7604E"/>
    <w:multiLevelType w:val="hybridMultilevel"/>
    <w:tmpl w:val="29724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D7E81"/>
    <w:multiLevelType w:val="hybridMultilevel"/>
    <w:tmpl w:val="D712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5"/>
  </w:num>
  <w:num w:numId="7">
    <w:abstractNumId w:val="1"/>
  </w:num>
  <w:num w:numId="8">
    <w:abstractNumId w:val="4"/>
  </w:num>
  <w:num w:numId="9">
    <w:abstractNumId w:val="1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Emma"/>
    <w:docVar w:name="FSAuthorDept" w:val="Private Wealth"/>
    <w:docVar w:name="FSAuthorEmail" w:val="emma.moody@bonddickinson.com"/>
    <w:docVar w:name="FSAuthorExt" w:val="+44 (0)191 230 8823"/>
    <w:docVar w:name="FSAuthorFax" w:val="0345 415 5256"/>
    <w:docVar w:name="FSAuthorLogon" w:val="EMMAM"/>
    <w:docVar w:name="FSAuthorName" w:val="Emma Moody"/>
    <w:docVar w:name="FSAuthorOffice" w:val="St Ann's Wharf"/>
    <w:docVar w:name="FSAuthorStaffReference" w:val="EJM"/>
    <w:docVar w:name="FSAuthorSurname" w:val="Moody"/>
    <w:docVar w:name="FSAuthorTitle" w:val="Head of Charities"/>
    <w:docVar w:name="FSClientName" w:val="Gateshead College"/>
    <w:docVar w:name="FSClientNumber" w:val="GAT/0041"/>
    <w:docVar w:name="FSDocClass" w:val="DOC"/>
    <w:docVar w:name="FSDocNumber" w:val="35746955"/>
    <w:docVar w:name="FSDocumentDescription" w:val="Corporate Services Committee Meeting Minutes 24 11 16"/>
    <w:docVar w:name="FSDocVersion" w:val="1"/>
    <w:docVar w:name="FSMatterDesc" w:val="Clerking Services 2016/2017"/>
    <w:docVar w:name="FSMatterManager" w:val="EJM"/>
    <w:docVar w:name="FSMatterNumber" w:val="00049"/>
    <w:docVar w:name="FSTypist" w:val="EMMAM"/>
    <w:docVar w:name="FSTypistExt" w:val="+44 (0)191 230 8823"/>
    <w:docVar w:name="FSTypistLogon" w:val="EMMAM"/>
    <w:docVar w:name="FSTypistName" w:val="Emma Moody"/>
    <w:docVar w:name="FSTypistStaffReference" w:val="EJM"/>
  </w:docVars>
  <w:rsids>
    <w:rsidRoot w:val="00807437"/>
    <w:rsid w:val="0000219B"/>
    <w:rsid w:val="00004676"/>
    <w:rsid w:val="00011972"/>
    <w:rsid w:val="000203D0"/>
    <w:rsid w:val="00024FED"/>
    <w:rsid w:val="000315C3"/>
    <w:rsid w:val="000356AA"/>
    <w:rsid w:val="000426B5"/>
    <w:rsid w:val="00051115"/>
    <w:rsid w:val="0005308A"/>
    <w:rsid w:val="00053676"/>
    <w:rsid w:val="00062317"/>
    <w:rsid w:val="00065FE8"/>
    <w:rsid w:val="000826DA"/>
    <w:rsid w:val="00085B8C"/>
    <w:rsid w:val="00092013"/>
    <w:rsid w:val="0009473A"/>
    <w:rsid w:val="00096E8B"/>
    <w:rsid w:val="000A0117"/>
    <w:rsid w:val="000A7886"/>
    <w:rsid w:val="000A7CB2"/>
    <w:rsid w:val="000B08AA"/>
    <w:rsid w:val="000B1E7D"/>
    <w:rsid w:val="000B1F82"/>
    <w:rsid w:val="000B33DA"/>
    <w:rsid w:val="000B5191"/>
    <w:rsid w:val="000B5765"/>
    <w:rsid w:val="000C0DD0"/>
    <w:rsid w:val="000C122D"/>
    <w:rsid w:val="000D0EB8"/>
    <w:rsid w:val="000D5392"/>
    <w:rsid w:val="000F3B74"/>
    <w:rsid w:val="000F3F9E"/>
    <w:rsid w:val="00122AF0"/>
    <w:rsid w:val="00125381"/>
    <w:rsid w:val="00126CA3"/>
    <w:rsid w:val="00131AB5"/>
    <w:rsid w:val="00134806"/>
    <w:rsid w:val="001376A2"/>
    <w:rsid w:val="00141F24"/>
    <w:rsid w:val="00143601"/>
    <w:rsid w:val="00144027"/>
    <w:rsid w:val="0014670C"/>
    <w:rsid w:val="0015127B"/>
    <w:rsid w:val="00152ECF"/>
    <w:rsid w:val="0015303F"/>
    <w:rsid w:val="001538A8"/>
    <w:rsid w:val="0016174E"/>
    <w:rsid w:val="001641E0"/>
    <w:rsid w:val="00176D7B"/>
    <w:rsid w:val="00180B84"/>
    <w:rsid w:val="00186389"/>
    <w:rsid w:val="00187637"/>
    <w:rsid w:val="001908DC"/>
    <w:rsid w:val="0019661F"/>
    <w:rsid w:val="00197F2C"/>
    <w:rsid w:val="001A0720"/>
    <w:rsid w:val="001B004B"/>
    <w:rsid w:val="001B17FF"/>
    <w:rsid w:val="001B2A63"/>
    <w:rsid w:val="001B554D"/>
    <w:rsid w:val="001C10C5"/>
    <w:rsid w:val="001C3416"/>
    <w:rsid w:val="001C4A6F"/>
    <w:rsid w:val="001C6608"/>
    <w:rsid w:val="001D325B"/>
    <w:rsid w:val="001D64E5"/>
    <w:rsid w:val="001E065D"/>
    <w:rsid w:val="001E5729"/>
    <w:rsid w:val="001F3835"/>
    <w:rsid w:val="001F450E"/>
    <w:rsid w:val="001F5B6E"/>
    <w:rsid w:val="00201470"/>
    <w:rsid w:val="00205DD8"/>
    <w:rsid w:val="002077F8"/>
    <w:rsid w:val="00217BF1"/>
    <w:rsid w:val="002211EF"/>
    <w:rsid w:val="00221ED2"/>
    <w:rsid w:val="00227B11"/>
    <w:rsid w:val="00233F4A"/>
    <w:rsid w:val="002341B9"/>
    <w:rsid w:val="00235E7E"/>
    <w:rsid w:val="00236485"/>
    <w:rsid w:val="00244F2C"/>
    <w:rsid w:val="00247393"/>
    <w:rsid w:val="00247990"/>
    <w:rsid w:val="002525A6"/>
    <w:rsid w:val="002568C3"/>
    <w:rsid w:val="00256A54"/>
    <w:rsid w:val="002623FF"/>
    <w:rsid w:val="00262FF3"/>
    <w:rsid w:val="00263F9A"/>
    <w:rsid w:val="0028059E"/>
    <w:rsid w:val="00283C79"/>
    <w:rsid w:val="00286386"/>
    <w:rsid w:val="002863C8"/>
    <w:rsid w:val="002A6139"/>
    <w:rsid w:val="002B2346"/>
    <w:rsid w:val="002C1313"/>
    <w:rsid w:val="002C40E0"/>
    <w:rsid w:val="002C68FD"/>
    <w:rsid w:val="002D2879"/>
    <w:rsid w:val="002D5A48"/>
    <w:rsid w:val="002F3364"/>
    <w:rsid w:val="002F45EC"/>
    <w:rsid w:val="003008A2"/>
    <w:rsid w:val="00302468"/>
    <w:rsid w:val="003061AE"/>
    <w:rsid w:val="00310974"/>
    <w:rsid w:val="00314884"/>
    <w:rsid w:val="00316BC1"/>
    <w:rsid w:val="00323137"/>
    <w:rsid w:val="00332597"/>
    <w:rsid w:val="00337B08"/>
    <w:rsid w:val="0035661B"/>
    <w:rsid w:val="00356FF4"/>
    <w:rsid w:val="0035765E"/>
    <w:rsid w:val="00361084"/>
    <w:rsid w:val="00361FD5"/>
    <w:rsid w:val="0036425E"/>
    <w:rsid w:val="003706D0"/>
    <w:rsid w:val="00377AFB"/>
    <w:rsid w:val="0038382C"/>
    <w:rsid w:val="0038444F"/>
    <w:rsid w:val="003915BB"/>
    <w:rsid w:val="003969D7"/>
    <w:rsid w:val="00397E60"/>
    <w:rsid w:val="003A187B"/>
    <w:rsid w:val="003B3D32"/>
    <w:rsid w:val="003B4D46"/>
    <w:rsid w:val="003C4EB7"/>
    <w:rsid w:val="003D1ADF"/>
    <w:rsid w:val="003D32C5"/>
    <w:rsid w:val="003D3A1A"/>
    <w:rsid w:val="003E707A"/>
    <w:rsid w:val="003F0680"/>
    <w:rsid w:val="003F2D16"/>
    <w:rsid w:val="00404E8B"/>
    <w:rsid w:val="00414A20"/>
    <w:rsid w:val="004159F2"/>
    <w:rsid w:val="00416B2A"/>
    <w:rsid w:val="004208D4"/>
    <w:rsid w:val="0042197F"/>
    <w:rsid w:val="00421CCD"/>
    <w:rsid w:val="004240FF"/>
    <w:rsid w:val="00424AC0"/>
    <w:rsid w:val="00424DDF"/>
    <w:rsid w:val="00431991"/>
    <w:rsid w:val="00436706"/>
    <w:rsid w:val="00441508"/>
    <w:rsid w:val="0044210C"/>
    <w:rsid w:val="00443A97"/>
    <w:rsid w:val="00447362"/>
    <w:rsid w:val="00447DB7"/>
    <w:rsid w:val="00450AB7"/>
    <w:rsid w:val="00452694"/>
    <w:rsid w:val="00454A61"/>
    <w:rsid w:val="0045741E"/>
    <w:rsid w:val="00460A09"/>
    <w:rsid w:val="004627AE"/>
    <w:rsid w:val="0046584E"/>
    <w:rsid w:val="00470A31"/>
    <w:rsid w:val="004870EA"/>
    <w:rsid w:val="00493570"/>
    <w:rsid w:val="0049509F"/>
    <w:rsid w:val="00495E3D"/>
    <w:rsid w:val="004A0428"/>
    <w:rsid w:val="004A43E7"/>
    <w:rsid w:val="004A4D74"/>
    <w:rsid w:val="004B275F"/>
    <w:rsid w:val="004C235E"/>
    <w:rsid w:val="004D5795"/>
    <w:rsid w:val="004E5D8F"/>
    <w:rsid w:val="00504375"/>
    <w:rsid w:val="00506741"/>
    <w:rsid w:val="00514B9A"/>
    <w:rsid w:val="0051574A"/>
    <w:rsid w:val="00517317"/>
    <w:rsid w:val="0055417E"/>
    <w:rsid w:val="00567383"/>
    <w:rsid w:val="00571ACA"/>
    <w:rsid w:val="00572144"/>
    <w:rsid w:val="00580BAA"/>
    <w:rsid w:val="00583C32"/>
    <w:rsid w:val="00585791"/>
    <w:rsid w:val="005A0777"/>
    <w:rsid w:val="005A0E3B"/>
    <w:rsid w:val="005A2368"/>
    <w:rsid w:val="005A4201"/>
    <w:rsid w:val="005A4AA1"/>
    <w:rsid w:val="005B08BD"/>
    <w:rsid w:val="005B0C7D"/>
    <w:rsid w:val="005B1F4B"/>
    <w:rsid w:val="005B3488"/>
    <w:rsid w:val="005C3BB9"/>
    <w:rsid w:val="005D5BDF"/>
    <w:rsid w:val="005E309C"/>
    <w:rsid w:val="005E7AF0"/>
    <w:rsid w:val="00603109"/>
    <w:rsid w:val="00604266"/>
    <w:rsid w:val="00607167"/>
    <w:rsid w:val="00607172"/>
    <w:rsid w:val="00613F2F"/>
    <w:rsid w:val="0061551E"/>
    <w:rsid w:val="006161DD"/>
    <w:rsid w:val="006417AC"/>
    <w:rsid w:val="00642707"/>
    <w:rsid w:val="0064624C"/>
    <w:rsid w:val="0066206B"/>
    <w:rsid w:val="0067154E"/>
    <w:rsid w:val="00671AB9"/>
    <w:rsid w:val="006755BC"/>
    <w:rsid w:val="00681744"/>
    <w:rsid w:val="006909EF"/>
    <w:rsid w:val="00691734"/>
    <w:rsid w:val="00691A7D"/>
    <w:rsid w:val="00692C2F"/>
    <w:rsid w:val="006954DD"/>
    <w:rsid w:val="00696DFD"/>
    <w:rsid w:val="006A4D77"/>
    <w:rsid w:val="006A5F5C"/>
    <w:rsid w:val="006C0A09"/>
    <w:rsid w:val="006C3F5B"/>
    <w:rsid w:val="006D479E"/>
    <w:rsid w:val="006E3FBE"/>
    <w:rsid w:val="006E56E0"/>
    <w:rsid w:val="006F02BD"/>
    <w:rsid w:val="006F0561"/>
    <w:rsid w:val="006F0889"/>
    <w:rsid w:val="006F12F5"/>
    <w:rsid w:val="006F187C"/>
    <w:rsid w:val="006F4609"/>
    <w:rsid w:val="006F4F92"/>
    <w:rsid w:val="006F53C1"/>
    <w:rsid w:val="00703CFC"/>
    <w:rsid w:val="007045F8"/>
    <w:rsid w:val="00705809"/>
    <w:rsid w:val="00712B1F"/>
    <w:rsid w:val="00721B43"/>
    <w:rsid w:val="007221FE"/>
    <w:rsid w:val="007228E5"/>
    <w:rsid w:val="00723389"/>
    <w:rsid w:val="007303BF"/>
    <w:rsid w:val="00732525"/>
    <w:rsid w:val="00744C55"/>
    <w:rsid w:val="00753D00"/>
    <w:rsid w:val="00757003"/>
    <w:rsid w:val="00773D09"/>
    <w:rsid w:val="00776485"/>
    <w:rsid w:val="0078004E"/>
    <w:rsid w:val="00791BCA"/>
    <w:rsid w:val="00791EEF"/>
    <w:rsid w:val="007A5F64"/>
    <w:rsid w:val="007B5C01"/>
    <w:rsid w:val="007C63CE"/>
    <w:rsid w:val="007D49DA"/>
    <w:rsid w:val="007E1E32"/>
    <w:rsid w:val="007E4205"/>
    <w:rsid w:val="007F3791"/>
    <w:rsid w:val="007F4D19"/>
    <w:rsid w:val="00807437"/>
    <w:rsid w:val="00810316"/>
    <w:rsid w:val="00822AB8"/>
    <w:rsid w:val="00827877"/>
    <w:rsid w:val="00856F91"/>
    <w:rsid w:val="0088022A"/>
    <w:rsid w:val="00880D6A"/>
    <w:rsid w:val="008853A1"/>
    <w:rsid w:val="008976AE"/>
    <w:rsid w:val="008A09EE"/>
    <w:rsid w:val="008A0B97"/>
    <w:rsid w:val="008A4461"/>
    <w:rsid w:val="008B3116"/>
    <w:rsid w:val="008B6276"/>
    <w:rsid w:val="008C0A28"/>
    <w:rsid w:val="008C282A"/>
    <w:rsid w:val="008C74DC"/>
    <w:rsid w:val="008D4CB4"/>
    <w:rsid w:val="008E1325"/>
    <w:rsid w:val="008E648A"/>
    <w:rsid w:val="00904B07"/>
    <w:rsid w:val="00905C9F"/>
    <w:rsid w:val="00907335"/>
    <w:rsid w:val="00911AD5"/>
    <w:rsid w:val="00915FC6"/>
    <w:rsid w:val="009231F4"/>
    <w:rsid w:val="00925195"/>
    <w:rsid w:val="0092538F"/>
    <w:rsid w:val="0093212D"/>
    <w:rsid w:val="00942844"/>
    <w:rsid w:val="00943172"/>
    <w:rsid w:val="0094516C"/>
    <w:rsid w:val="00952048"/>
    <w:rsid w:val="00956ACB"/>
    <w:rsid w:val="0096346D"/>
    <w:rsid w:val="00970FDD"/>
    <w:rsid w:val="00973427"/>
    <w:rsid w:val="00975C08"/>
    <w:rsid w:val="0098102C"/>
    <w:rsid w:val="009904A9"/>
    <w:rsid w:val="00992454"/>
    <w:rsid w:val="009A5F9C"/>
    <w:rsid w:val="009B357A"/>
    <w:rsid w:val="009B4403"/>
    <w:rsid w:val="009B724F"/>
    <w:rsid w:val="009C1B65"/>
    <w:rsid w:val="009C7796"/>
    <w:rsid w:val="009E0833"/>
    <w:rsid w:val="009E55BE"/>
    <w:rsid w:val="009E5AA0"/>
    <w:rsid w:val="009E6A1F"/>
    <w:rsid w:val="009F4CC4"/>
    <w:rsid w:val="00A034F0"/>
    <w:rsid w:val="00A06539"/>
    <w:rsid w:val="00A0693F"/>
    <w:rsid w:val="00A07C3C"/>
    <w:rsid w:val="00A12330"/>
    <w:rsid w:val="00A176EF"/>
    <w:rsid w:val="00A23E7E"/>
    <w:rsid w:val="00A2408A"/>
    <w:rsid w:val="00A2657D"/>
    <w:rsid w:val="00A40249"/>
    <w:rsid w:val="00A419C1"/>
    <w:rsid w:val="00A42E51"/>
    <w:rsid w:val="00A44D0D"/>
    <w:rsid w:val="00A54866"/>
    <w:rsid w:val="00A55603"/>
    <w:rsid w:val="00A60A30"/>
    <w:rsid w:val="00A614E7"/>
    <w:rsid w:val="00A61832"/>
    <w:rsid w:val="00A73E2D"/>
    <w:rsid w:val="00A75943"/>
    <w:rsid w:val="00A956DA"/>
    <w:rsid w:val="00AA1102"/>
    <w:rsid w:val="00AA466D"/>
    <w:rsid w:val="00AA5F2E"/>
    <w:rsid w:val="00AA7A38"/>
    <w:rsid w:val="00AB555D"/>
    <w:rsid w:val="00AC3E79"/>
    <w:rsid w:val="00AD7339"/>
    <w:rsid w:val="00AE0179"/>
    <w:rsid w:val="00AE7B68"/>
    <w:rsid w:val="00AF372E"/>
    <w:rsid w:val="00B1144F"/>
    <w:rsid w:val="00B1181C"/>
    <w:rsid w:val="00B220F2"/>
    <w:rsid w:val="00B27DC3"/>
    <w:rsid w:val="00B35C2A"/>
    <w:rsid w:val="00B55B97"/>
    <w:rsid w:val="00B66911"/>
    <w:rsid w:val="00B71E75"/>
    <w:rsid w:val="00B75A57"/>
    <w:rsid w:val="00B81225"/>
    <w:rsid w:val="00B816F1"/>
    <w:rsid w:val="00B87E0C"/>
    <w:rsid w:val="00B9012C"/>
    <w:rsid w:val="00B921DC"/>
    <w:rsid w:val="00BB3A68"/>
    <w:rsid w:val="00BC3249"/>
    <w:rsid w:val="00BC4175"/>
    <w:rsid w:val="00BC4287"/>
    <w:rsid w:val="00BD39DE"/>
    <w:rsid w:val="00BE5194"/>
    <w:rsid w:val="00BF444C"/>
    <w:rsid w:val="00BF54D1"/>
    <w:rsid w:val="00C13B7F"/>
    <w:rsid w:val="00C211CF"/>
    <w:rsid w:val="00C2185C"/>
    <w:rsid w:val="00C25E77"/>
    <w:rsid w:val="00C31BF1"/>
    <w:rsid w:val="00C4126C"/>
    <w:rsid w:val="00C43421"/>
    <w:rsid w:val="00C44C10"/>
    <w:rsid w:val="00C50435"/>
    <w:rsid w:val="00C53350"/>
    <w:rsid w:val="00C53AE3"/>
    <w:rsid w:val="00C53CD2"/>
    <w:rsid w:val="00C53F2F"/>
    <w:rsid w:val="00C62555"/>
    <w:rsid w:val="00C72B62"/>
    <w:rsid w:val="00C866E7"/>
    <w:rsid w:val="00C875A3"/>
    <w:rsid w:val="00C8797C"/>
    <w:rsid w:val="00C90691"/>
    <w:rsid w:val="00C96E7C"/>
    <w:rsid w:val="00C96F86"/>
    <w:rsid w:val="00CC0A06"/>
    <w:rsid w:val="00CC0C89"/>
    <w:rsid w:val="00CC464F"/>
    <w:rsid w:val="00CD1B13"/>
    <w:rsid w:val="00CD725B"/>
    <w:rsid w:val="00CE4F82"/>
    <w:rsid w:val="00CF3097"/>
    <w:rsid w:val="00D05001"/>
    <w:rsid w:val="00D07A6E"/>
    <w:rsid w:val="00D139C0"/>
    <w:rsid w:val="00D1501C"/>
    <w:rsid w:val="00D1573F"/>
    <w:rsid w:val="00D24CE0"/>
    <w:rsid w:val="00D36E69"/>
    <w:rsid w:val="00D448CB"/>
    <w:rsid w:val="00D50F8A"/>
    <w:rsid w:val="00D53819"/>
    <w:rsid w:val="00D549A6"/>
    <w:rsid w:val="00D57A3B"/>
    <w:rsid w:val="00D77D63"/>
    <w:rsid w:val="00D815E1"/>
    <w:rsid w:val="00D865AE"/>
    <w:rsid w:val="00D95D76"/>
    <w:rsid w:val="00DA3D25"/>
    <w:rsid w:val="00DA44CD"/>
    <w:rsid w:val="00DA4A22"/>
    <w:rsid w:val="00DA60D7"/>
    <w:rsid w:val="00DA68F0"/>
    <w:rsid w:val="00DA7A0B"/>
    <w:rsid w:val="00DB032F"/>
    <w:rsid w:val="00DB0C6B"/>
    <w:rsid w:val="00DB2CC9"/>
    <w:rsid w:val="00DB6978"/>
    <w:rsid w:val="00DC4002"/>
    <w:rsid w:val="00DC7445"/>
    <w:rsid w:val="00DC7BCC"/>
    <w:rsid w:val="00DD45AF"/>
    <w:rsid w:val="00DD5B78"/>
    <w:rsid w:val="00DD70EE"/>
    <w:rsid w:val="00DE45E6"/>
    <w:rsid w:val="00DE6E49"/>
    <w:rsid w:val="00DE7334"/>
    <w:rsid w:val="00DE7354"/>
    <w:rsid w:val="00E001C8"/>
    <w:rsid w:val="00E01471"/>
    <w:rsid w:val="00E0277B"/>
    <w:rsid w:val="00E0391D"/>
    <w:rsid w:val="00E05646"/>
    <w:rsid w:val="00E06985"/>
    <w:rsid w:val="00E074CD"/>
    <w:rsid w:val="00E11F8F"/>
    <w:rsid w:val="00E1484F"/>
    <w:rsid w:val="00E21F91"/>
    <w:rsid w:val="00E238ED"/>
    <w:rsid w:val="00E35BC4"/>
    <w:rsid w:val="00E40673"/>
    <w:rsid w:val="00E43FE0"/>
    <w:rsid w:val="00E54B64"/>
    <w:rsid w:val="00E567DA"/>
    <w:rsid w:val="00E61378"/>
    <w:rsid w:val="00E618BA"/>
    <w:rsid w:val="00E67EF7"/>
    <w:rsid w:val="00E709DB"/>
    <w:rsid w:val="00E73354"/>
    <w:rsid w:val="00E76E09"/>
    <w:rsid w:val="00E85823"/>
    <w:rsid w:val="00E86410"/>
    <w:rsid w:val="00EA678F"/>
    <w:rsid w:val="00EB6AEE"/>
    <w:rsid w:val="00EC09C6"/>
    <w:rsid w:val="00EC119E"/>
    <w:rsid w:val="00EC5545"/>
    <w:rsid w:val="00ED02E6"/>
    <w:rsid w:val="00ED3C62"/>
    <w:rsid w:val="00EE4C51"/>
    <w:rsid w:val="00EE6ED2"/>
    <w:rsid w:val="00F05319"/>
    <w:rsid w:val="00F13587"/>
    <w:rsid w:val="00F15CBE"/>
    <w:rsid w:val="00F175B0"/>
    <w:rsid w:val="00F17697"/>
    <w:rsid w:val="00F2268E"/>
    <w:rsid w:val="00F26521"/>
    <w:rsid w:val="00F42BB7"/>
    <w:rsid w:val="00F4478E"/>
    <w:rsid w:val="00F45FE1"/>
    <w:rsid w:val="00F47542"/>
    <w:rsid w:val="00F52986"/>
    <w:rsid w:val="00F54AB7"/>
    <w:rsid w:val="00F557A8"/>
    <w:rsid w:val="00F56BC2"/>
    <w:rsid w:val="00F63933"/>
    <w:rsid w:val="00F6535E"/>
    <w:rsid w:val="00F70508"/>
    <w:rsid w:val="00F86E1B"/>
    <w:rsid w:val="00F879BA"/>
    <w:rsid w:val="00F87D66"/>
    <w:rsid w:val="00F90F4C"/>
    <w:rsid w:val="00F92E44"/>
    <w:rsid w:val="00FA7F71"/>
    <w:rsid w:val="00FB194E"/>
    <w:rsid w:val="00FB2890"/>
    <w:rsid w:val="00FB2D00"/>
    <w:rsid w:val="00FC482B"/>
    <w:rsid w:val="00FC5959"/>
    <w:rsid w:val="00FC5AC7"/>
    <w:rsid w:val="00FC7677"/>
    <w:rsid w:val="00FD15C0"/>
    <w:rsid w:val="00FD558C"/>
    <w:rsid w:val="00FE3DC7"/>
    <w:rsid w:val="00FE495A"/>
    <w:rsid w:val="00FE60B5"/>
    <w:rsid w:val="00FF4408"/>
    <w:rsid w:val="00FF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C97E989"/>
  <w15:docId w15:val="{20BBAC1C-AFDA-461F-9E2D-B2EFAF4A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BF1"/>
    <w:rPr>
      <w:sz w:val="24"/>
      <w:szCs w:val="24"/>
    </w:rPr>
  </w:style>
  <w:style w:type="paragraph" w:styleId="Heading1">
    <w:name w:val="heading 1"/>
    <w:basedOn w:val="Normal"/>
    <w:next w:val="Normal"/>
    <w:qFormat/>
    <w:rsid w:val="00EE6ED2"/>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5B08BD"/>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ormatting">
    <w:name w:val="table formatting"/>
    <w:basedOn w:val="TableGrid"/>
    <w:rsid w:val="00A419C1"/>
    <w:rPr>
      <w:rFonts w:ascii="Verdana" w:hAnsi="Verdana"/>
      <w:sz w:val="16"/>
    </w:rPr>
    <w:tblPr/>
    <w:tcPr>
      <w:vAlign w:val="center"/>
    </w:tcPr>
  </w:style>
  <w:style w:type="paragraph" w:styleId="Header">
    <w:name w:val="header"/>
    <w:basedOn w:val="Normal"/>
    <w:rsid w:val="00FD558C"/>
    <w:pPr>
      <w:tabs>
        <w:tab w:val="center" w:pos="4153"/>
        <w:tab w:val="right" w:pos="8306"/>
      </w:tabs>
    </w:pPr>
  </w:style>
  <w:style w:type="paragraph" w:styleId="Footer">
    <w:name w:val="footer"/>
    <w:basedOn w:val="Normal"/>
    <w:link w:val="FooterChar"/>
    <w:rsid w:val="00FD558C"/>
    <w:pPr>
      <w:tabs>
        <w:tab w:val="center" w:pos="4153"/>
        <w:tab w:val="right" w:pos="8306"/>
      </w:tabs>
    </w:pPr>
  </w:style>
  <w:style w:type="paragraph" w:styleId="BodyText">
    <w:name w:val="Body Text"/>
    <w:basedOn w:val="Normal"/>
    <w:rsid w:val="005B08BD"/>
    <w:pPr>
      <w:jc w:val="both"/>
    </w:pPr>
    <w:rPr>
      <w:szCs w:val="20"/>
      <w:lang w:eastAsia="en-US"/>
    </w:rPr>
  </w:style>
  <w:style w:type="character" w:customStyle="1" w:styleId="FooterChar">
    <w:name w:val="Footer Char"/>
    <w:link w:val="Footer"/>
    <w:rsid w:val="00E86410"/>
    <w:rPr>
      <w:sz w:val="24"/>
      <w:szCs w:val="24"/>
    </w:rPr>
  </w:style>
  <w:style w:type="paragraph" w:styleId="ListParagraph">
    <w:name w:val="List Paragraph"/>
    <w:basedOn w:val="Normal"/>
    <w:uiPriority w:val="34"/>
    <w:qFormat/>
    <w:rsid w:val="009A5F9C"/>
    <w:pPr>
      <w:ind w:left="720"/>
    </w:pPr>
    <w:rPr>
      <w:rFonts w:ascii="Calibri" w:eastAsiaTheme="minorHAnsi" w:hAnsi="Calibri" w:cs="Calibri"/>
      <w:sz w:val="22"/>
      <w:szCs w:val="22"/>
      <w:lang w:eastAsia="en-US"/>
    </w:rPr>
  </w:style>
  <w:style w:type="character" w:styleId="CommentReference">
    <w:name w:val="annotation reference"/>
    <w:basedOn w:val="DefaultParagraphFont"/>
    <w:rsid w:val="00134806"/>
    <w:rPr>
      <w:sz w:val="16"/>
      <w:szCs w:val="16"/>
    </w:rPr>
  </w:style>
  <w:style w:type="paragraph" w:styleId="CommentText">
    <w:name w:val="annotation text"/>
    <w:basedOn w:val="Normal"/>
    <w:link w:val="CommentTextChar"/>
    <w:rsid w:val="00134806"/>
    <w:rPr>
      <w:sz w:val="20"/>
      <w:szCs w:val="20"/>
    </w:rPr>
  </w:style>
  <w:style w:type="character" w:customStyle="1" w:styleId="CommentTextChar">
    <w:name w:val="Comment Text Char"/>
    <w:basedOn w:val="DefaultParagraphFont"/>
    <w:link w:val="CommentText"/>
    <w:rsid w:val="00134806"/>
  </w:style>
  <w:style w:type="paragraph" w:styleId="CommentSubject">
    <w:name w:val="annotation subject"/>
    <w:basedOn w:val="CommentText"/>
    <w:next w:val="CommentText"/>
    <w:link w:val="CommentSubjectChar"/>
    <w:rsid w:val="00134806"/>
    <w:rPr>
      <w:b/>
      <w:bCs/>
    </w:rPr>
  </w:style>
  <w:style w:type="character" w:customStyle="1" w:styleId="CommentSubjectChar">
    <w:name w:val="Comment Subject Char"/>
    <w:basedOn w:val="CommentTextChar"/>
    <w:link w:val="CommentSubject"/>
    <w:rsid w:val="00134806"/>
    <w:rPr>
      <w:b/>
      <w:bCs/>
    </w:rPr>
  </w:style>
  <w:style w:type="paragraph" w:styleId="BalloonText">
    <w:name w:val="Balloon Text"/>
    <w:basedOn w:val="Normal"/>
    <w:link w:val="BalloonTextChar"/>
    <w:rsid w:val="00134806"/>
    <w:rPr>
      <w:rFonts w:ascii="Tahoma" w:hAnsi="Tahoma" w:cs="Tahoma"/>
      <w:sz w:val="16"/>
      <w:szCs w:val="16"/>
    </w:rPr>
  </w:style>
  <w:style w:type="character" w:customStyle="1" w:styleId="BalloonTextChar">
    <w:name w:val="Balloon Text Char"/>
    <w:basedOn w:val="DefaultParagraphFont"/>
    <w:link w:val="BalloonText"/>
    <w:rsid w:val="00134806"/>
    <w:rPr>
      <w:rFonts w:ascii="Tahoma" w:hAnsi="Tahoma" w:cs="Tahoma"/>
      <w:sz w:val="16"/>
      <w:szCs w:val="16"/>
    </w:rPr>
  </w:style>
  <w:style w:type="paragraph" w:styleId="Revision">
    <w:name w:val="Revision"/>
    <w:hidden/>
    <w:uiPriority w:val="99"/>
    <w:semiHidden/>
    <w:rsid w:val="005E309C"/>
    <w:rPr>
      <w:sz w:val="24"/>
      <w:szCs w:val="24"/>
    </w:rPr>
  </w:style>
  <w:style w:type="paragraph" w:customStyle="1" w:styleId="Default">
    <w:name w:val="Default"/>
    <w:rsid w:val="00416B2A"/>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6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6B47-29A8-40DF-B584-1F2F3EB0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1549</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 ***-Pro-***</vt:lpstr>
    </vt:vector>
  </TitlesOfParts>
  <Company>Gateshead College</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***-Pro-***</dc:title>
  <dc:creator>joyce.kennedy</dc:creator>
  <cp:lastModifiedBy>David Leath</cp:lastModifiedBy>
  <cp:revision>7</cp:revision>
  <cp:lastPrinted>2018-11-08T12:35:00Z</cp:lastPrinted>
  <dcterms:created xsi:type="dcterms:W3CDTF">2021-02-05T13:06:00Z</dcterms:created>
  <dcterms:modified xsi:type="dcterms:W3CDTF">2021-02-05T13:32:00Z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MAIN\35746955\1</vt:lpwstr>
  </property>
  <property fmtid="{D5CDD505-2E9C-101B-9397-08002B2CF9AE}" pid="3" name="DocRef">
    <vt:lpwstr>MA_35746955_1</vt:lpwstr>
  </property>
</Properties>
</file>